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spacing w:line="600" w:lineRule="exact"/>
        <w:contextualSpacing/>
        <w:jc w:val="center"/>
        <w:rPr>
          <w:rFonts w:ascii="仿宋_GB2312" w:eastAsia="仿宋_GB2312"/>
          <w:sz w:val="32"/>
          <w:szCs w:val="32"/>
        </w:rPr>
      </w:pPr>
      <w:r>
        <w:rPr>
          <w:rFonts w:hint="eastAsia" w:ascii="仿宋_GB2312" w:eastAsia="仿宋_GB2312"/>
          <w:sz w:val="32"/>
          <w:szCs w:val="32"/>
        </w:rPr>
        <w:t>福理工教〔2</w:t>
      </w:r>
      <w:r>
        <w:rPr>
          <w:rFonts w:ascii="仿宋_GB2312" w:eastAsia="仿宋_GB2312"/>
          <w:sz w:val="32"/>
          <w:szCs w:val="32"/>
        </w:rPr>
        <w:t>0</w:t>
      </w:r>
      <w:r>
        <w:rPr>
          <w:rFonts w:hint="eastAsia" w:ascii="仿宋_GB2312" w:eastAsia="仿宋_GB2312"/>
          <w:sz w:val="32"/>
          <w:szCs w:val="32"/>
        </w:rPr>
        <w:t>23〕</w:t>
      </w:r>
      <w:r>
        <w:rPr>
          <w:rFonts w:hint="eastAsia" w:ascii="仿宋_GB2312" w:eastAsia="仿宋_GB2312"/>
          <w:sz w:val="32"/>
          <w:szCs w:val="32"/>
          <w:lang w:val="en-US" w:eastAsia="zh-CN"/>
        </w:rPr>
        <w:t>46</w:t>
      </w:r>
      <w:r>
        <w:rPr>
          <w:rFonts w:hint="eastAsia" w:ascii="仿宋_GB2312" w:eastAsia="仿宋_GB2312"/>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tabs>
          <w:tab w:val="left" w:pos="7560"/>
        </w:tabs>
        <w:spacing w:line="400" w:lineRule="exact"/>
        <w:rPr>
          <w:rFonts w:ascii="宋体" w:hAnsi="宋体" w:cs="宋体"/>
          <w:sz w:val="32"/>
          <w:szCs w:val="32"/>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eastAsia="方正小标宋简体"/>
          <w:color w:val="000000" w:themeColor="text1"/>
          <w:sz w:val="32"/>
          <w:szCs w:val="32"/>
          <w14:textFill>
            <w14:solidFill>
              <w14:schemeClr w14:val="tx1"/>
            </w14:solidFill>
          </w14:textFill>
        </w:rPr>
      </w:pPr>
      <w:r>
        <w:rPr>
          <w:rFonts w:hint="eastAsia" w:ascii="方正小标宋简体" w:eastAsia="方正小标宋简体"/>
          <w:sz w:val="44"/>
          <w:szCs w:val="44"/>
        </w:rPr>
        <w:t>关于开展实践教学专项检查工作的通知</w:t>
      </w:r>
    </w:p>
    <w:p>
      <w:pPr>
        <w:tabs>
          <w:tab w:val="left" w:pos="7560"/>
        </w:tabs>
        <w:spacing w:line="400" w:lineRule="exact"/>
        <w:rPr>
          <w:rFonts w:hint="eastAsia" w:ascii="仿宋" w:hAnsi="仿宋" w:eastAsia="仿宋"/>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各</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二级</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学院：</w:t>
      </w: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实践教学是教学质量监控的重要环节，为贯彻落实教育部关于加强本科教学过程管理的指示精神，强化实践教学工作的日常管理和质量监控，全面客观掌握我校整体实践教学运行状况，持续推进实践教学质量的不断提高，根据教学工作安排，学校决定开展实践教学专项检查，现将有关事项通知如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一、检查范围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根据《福州理工学院本科教学主要环节质量标准》（福理工教〔2020〕99号），检查2020级所有本科专业实践教学工作的组织、实施、考核、管理情况，含已经开设的理实一体化、独立设课、集中实践等各类实践课程。毕业设计（论文）、认识性实习、毕业实习不在此次检查范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二、检查方式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采用二级学院全面自查与学校抽查相结合的方式进行。实践教学质量标准（实验实训类）见附件1，本次专项检查质量评价表见附件2，各学院可以结合学科专业特点及要求在此基础上增加评价指标并报备教务处。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三、检查程序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000000" w:themeColor="text1"/>
          <w:sz w:val="32"/>
          <w:szCs w:val="32"/>
          <w:shd w:val="clear" w:color="auto" w:fill="FFFFFF"/>
          <w14:textFill>
            <w14:solidFill>
              <w14:schemeClr w14:val="tx1"/>
            </w14:solidFill>
          </w14:textFill>
        </w:rPr>
      </w:pPr>
      <w:r>
        <w:rPr>
          <w:rFonts w:hint="eastAsia" w:ascii="楷体" w:hAnsi="楷体" w:eastAsia="楷体" w:cs="楷体"/>
          <w:color w:val="000000" w:themeColor="text1"/>
          <w:sz w:val="32"/>
          <w:szCs w:val="32"/>
          <w:shd w:val="clear" w:color="auto" w:fill="FFFFFF"/>
          <w14:textFill>
            <w14:solidFill>
              <w14:schemeClr w14:val="tx1"/>
            </w14:solidFill>
          </w14:textFill>
        </w:rPr>
        <w:t>（一）学院自查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4月20日-5月11日，各二级学院按照通知要求，制定自查工作计划，明确人员分工和时间节点，以专业或课程组为单位，认真组织开展自查工作，确保全覆盖。自查过程中每门实践课程对照检查标准形成自评结果。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000000" w:themeColor="text1"/>
          <w:sz w:val="32"/>
          <w:szCs w:val="32"/>
          <w:shd w:val="clear" w:color="auto" w:fill="FFFFFF"/>
          <w14:textFill>
            <w14:solidFill>
              <w14:schemeClr w14:val="tx1"/>
            </w14:solidFill>
          </w14:textFill>
        </w:rPr>
      </w:pPr>
      <w:r>
        <w:rPr>
          <w:rFonts w:hint="eastAsia" w:ascii="楷体" w:hAnsi="楷体" w:eastAsia="楷体" w:cs="楷体"/>
          <w:color w:val="000000" w:themeColor="text1"/>
          <w:sz w:val="32"/>
          <w:szCs w:val="32"/>
          <w:shd w:val="clear" w:color="auto" w:fill="FFFFFF"/>
          <w14:textFill>
            <w14:solidFill>
              <w14:schemeClr w14:val="tx1"/>
            </w14:solidFill>
          </w14:textFill>
        </w:rPr>
        <w:t>（二）学校抽查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5月12日-5月26日，学校组织专项检查组对学院自查情况进行全面检查，随机抽取课程组织实践教学情况汇报，形成问题清单反馈给二级学院整改。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1.每个专业抽查至少1门课程的教学档案材料，被抽查课程的课程负责人围绕检查指标点准备10分钟的课程自述。</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2.召开学生座谈会，了解学生对学院实践教学工作的意见和建议。</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3.各相关学院应提供本次实践教学自查工作总结及相关支撑材料。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四、工作要求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000000" w:themeColor="text1"/>
          <w:sz w:val="32"/>
          <w:szCs w:val="32"/>
          <w:shd w:val="clear" w:color="auto" w:fill="FFFFFF"/>
          <w14:textFill>
            <w14:solidFill>
              <w14:schemeClr w14:val="tx1"/>
            </w14:solidFill>
          </w14:textFill>
        </w:rPr>
      </w:pPr>
      <w:r>
        <w:rPr>
          <w:rFonts w:hint="eastAsia" w:ascii="楷体" w:hAnsi="楷体" w:eastAsia="楷体" w:cs="楷体"/>
          <w:color w:val="000000" w:themeColor="text1"/>
          <w:sz w:val="32"/>
          <w:szCs w:val="32"/>
          <w:shd w:val="clear" w:color="auto" w:fill="FFFFFF"/>
          <w14:textFill>
            <w14:solidFill>
              <w14:schemeClr w14:val="tx1"/>
            </w14:solidFill>
          </w14:textFill>
        </w:rPr>
        <w:t>（一）二级学院自查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1.各二级学院应予以高度重视，精心部署，强化管理，狠抓落实，查缺补差，有效改进，安排专人负责学校实践教学专项检查工作，做好相关档案准备工作。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2.各二级学院按照通知要求认真检查各实践教学环节，客观真实记录检查情况。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3.对实践教学自查工作进行认真总结，形成自查工作报告。</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4.认真配合学校检查组工作，按照通知检查内容要求，为学校检查组准备好本单位自查材料、完整的备查材料等。</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5.做好实践教学专项检查材料的归档工作，各类实践教学环节教学组织与管理均应按照要求认真执行，注重教学过程材料的收集与整理，发现问题及时整改。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000000" w:themeColor="text1"/>
          <w:sz w:val="32"/>
          <w:szCs w:val="32"/>
          <w:shd w:val="clear" w:color="auto" w:fill="FFFFFF"/>
          <w14:textFill>
            <w14:solidFill>
              <w14:schemeClr w14:val="tx1"/>
            </w14:solidFill>
          </w14:textFill>
        </w:rPr>
      </w:pPr>
      <w:r>
        <w:rPr>
          <w:rFonts w:hint="eastAsia" w:ascii="楷体" w:hAnsi="楷体" w:eastAsia="楷体" w:cs="楷体"/>
          <w:color w:val="000000" w:themeColor="text1"/>
          <w:sz w:val="32"/>
          <w:szCs w:val="32"/>
          <w:shd w:val="clear" w:color="auto" w:fill="FFFFFF"/>
          <w14:textFill>
            <w14:solidFill>
              <w14:schemeClr w14:val="tx1"/>
            </w14:solidFill>
          </w14:textFill>
        </w:rPr>
        <w:t>（二）学校检查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1.专项检查组按照学校检查要点，根据各二级学院提供的材料逐项进行检查，并将检查情况进行详细记录。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2.专项检查组及时反馈发现的问题，二级学院须按要求认真整改，进一步规范实践教学运行和相关过程材料存档等工作，提高实践教学质量。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（三）本次检查重点针对2020级已经开设的实践类课程，各年级未开设或正在开设的课程均应按照质量标准（附件1）要求认真做好实践类课程教学工作。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附件</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福州理工学院实践教学质量标准（实验实训类）</w:t>
      </w:r>
    </w:p>
    <w:p>
      <w:pPr>
        <w:keepNext w:val="0"/>
        <w:keepLines w:val="0"/>
        <w:pageBreakBefore w:val="0"/>
        <w:widowControl/>
        <w:kinsoku/>
        <w:wordWrap/>
        <w:overflowPunct/>
        <w:topLinePunct w:val="0"/>
        <w:autoSpaceDE/>
        <w:autoSpaceDN/>
        <w:bidi w:val="0"/>
        <w:adjustRightInd/>
        <w:snapToGrid/>
        <w:spacing w:line="560" w:lineRule="exact"/>
        <w:ind w:firstLine="1600" w:firstLineChars="5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实践教学质量评价表（实验实训类）</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right="840" w:rightChars="400"/>
        <w:jc w:val="righ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教务处</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教学质量管理中心</w:t>
      </w:r>
    </w:p>
    <w:p>
      <w:pPr>
        <w:keepNext w:val="0"/>
        <w:keepLines w:val="0"/>
        <w:pageBreakBefore w:val="0"/>
        <w:widowControl/>
        <w:kinsoku/>
        <w:wordWrap w:val="0"/>
        <w:overflowPunct/>
        <w:topLinePunct w:val="0"/>
        <w:autoSpaceDE/>
        <w:autoSpaceDN/>
        <w:bidi w:val="0"/>
        <w:adjustRightInd/>
        <w:snapToGrid/>
        <w:spacing w:line="560" w:lineRule="exact"/>
        <w:ind w:right="840" w:rightChars="400"/>
        <w:jc w:val="right"/>
        <w:textAlignment w:val="auto"/>
        <w:rPr>
          <w:rFonts w:hint="default"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2023年4月</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日</w:t>
      </w:r>
    </w:p>
    <w:p>
      <w:pPr>
        <w:widowControl/>
        <w:jc w:val="right"/>
        <w:rPr>
          <w:rFonts w:ascii="仿宋" w:hAnsi="仿宋" w:eastAsia="仿宋"/>
          <w:color w:val="000000" w:themeColor="text1"/>
          <w:sz w:val="32"/>
          <w:szCs w:val="32"/>
          <w:shd w:val="clear" w:color="auto" w:fill="FFFFFF"/>
          <w14:textFill>
            <w14:solidFill>
              <w14:schemeClr w14:val="tx1"/>
            </w14:solidFill>
          </w14:textFill>
        </w:rPr>
        <w:sectPr>
          <w:footerReference r:id="rId3" w:type="default"/>
          <w:pgSz w:w="11906" w:h="16838"/>
          <w:pgMar w:top="1587" w:right="1559" w:bottom="1587" w:left="1559"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福州理工学院实践教学质量标准（实验实训类）</w:t>
      </w:r>
    </w:p>
    <w:tbl>
      <w:tblPr>
        <w:tblStyle w:val="4"/>
        <w:tblW w:w="13870" w:type="dxa"/>
        <w:jc w:val="center"/>
        <w:tblLayout w:type="fixed"/>
        <w:tblCellMar>
          <w:top w:w="0" w:type="dxa"/>
          <w:left w:w="108" w:type="dxa"/>
          <w:bottom w:w="0" w:type="dxa"/>
          <w:right w:w="108" w:type="dxa"/>
        </w:tblCellMar>
      </w:tblPr>
      <w:tblGrid>
        <w:gridCol w:w="1451"/>
        <w:gridCol w:w="1276"/>
        <w:gridCol w:w="5705"/>
        <w:gridCol w:w="5438"/>
      </w:tblGrid>
      <w:tr>
        <w:tblPrEx>
          <w:tblCellMar>
            <w:top w:w="0" w:type="dxa"/>
            <w:left w:w="108" w:type="dxa"/>
            <w:bottom w:w="0" w:type="dxa"/>
            <w:right w:w="108" w:type="dxa"/>
          </w:tblCellMar>
        </w:tblPrEx>
        <w:trPr>
          <w:trHeight w:val="280" w:hRule="atLeast"/>
          <w:jc w:val="center"/>
        </w:trPr>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一级指标</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二级指标</w:t>
            </w:r>
          </w:p>
        </w:tc>
        <w:tc>
          <w:tcPr>
            <w:tcW w:w="111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质量等级标准</w:t>
            </w:r>
          </w:p>
        </w:tc>
      </w:tr>
      <w:tr>
        <w:tblPrEx>
          <w:tblCellMar>
            <w:top w:w="0" w:type="dxa"/>
            <w:left w:w="108" w:type="dxa"/>
            <w:bottom w:w="0" w:type="dxa"/>
            <w:right w:w="108" w:type="dxa"/>
          </w:tblCellMar>
        </w:tblPrEx>
        <w:trPr>
          <w:trHeight w:val="280" w:hRule="atLeast"/>
          <w:jc w:val="center"/>
        </w:trPr>
        <w:tc>
          <w:tcPr>
            <w:tcW w:w="14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themeColor="text1"/>
                <w:kern w:val="0"/>
                <w:sz w:val="22"/>
                <w14:textFill>
                  <w14:solidFill>
                    <w14:schemeClr w14:val="tx1"/>
                  </w14:solidFill>
                </w14:textFill>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themeColor="text1"/>
                <w:kern w:val="0"/>
                <w:sz w:val="22"/>
                <w14:textFill>
                  <w14:solidFill>
                    <w14:schemeClr w14:val="tx1"/>
                  </w14:solidFill>
                </w14:textFill>
              </w:rPr>
            </w:pPr>
          </w:p>
        </w:tc>
        <w:tc>
          <w:tcPr>
            <w:tcW w:w="5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A</w:t>
            </w:r>
          </w:p>
        </w:tc>
        <w:tc>
          <w:tcPr>
            <w:tcW w:w="5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C</w:t>
            </w:r>
          </w:p>
        </w:tc>
      </w:tr>
      <w:tr>
        <w:tblPrEx>
          <w:tblCellMar>
            <w:top w:w="0" w:type="dxa"/>
            <w:left w:w="108" w:type="dxa"/>
            <w:bottom w:w="0" w:type="dxa"/>
            <w:right w:w="108" w:type="dxa"/>
          </w:tblCellMar>
        </w:tblPrEx>
        <w:trPr>
          <w:trHeight w:val="2023" w:hRule="atLeast"/>
          <w:jc w:val="center"/>
        </w:trPr>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教学文件及实验准备</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教学大纲</w:t>
            </w:r>
          </w:p>
        </w:tc>
        <w:tc>
          <w:tcPr>
            <w:tcW w:w="5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1.教学思想观念与时俱进，教学方案设计合理，实验项目数量与实验内容应符合应用型人才培养目标要求；</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2.三性实验比例</w:t>
            </w:r>
            <w:r>
              <w:rPr>
                <w:rFonts w:hint="eastAsia" w:ascii="Times New Roman" w:hAnsi="Times New Roman" w:eastAsia="仿宋" w:cs="Times New Roman"/>
                <w:color w:val="000000" w:themeColor="text1"/>
                <w:sz w:val="24"/>
                <w:szCs w:val="24"/>
                <w14:textFill>
                  <w14:solidFill>
                    <w14:schemeClr w14:val="tx1"/>
                  </w14:solidFill>
                </w14:textFill>
              </w:rPr>
              <w:t>≥</w:t>
            </w:r>
            <w:r>
              <w:rPr>
                <w:rFonts w:hint="eastAsia" w:ascii="宋体" w:hAnsi="宋体" w:eastAsia="宋体" w:cs="宋体"/>
                <w:color w:val="000000" w:themeColor="text1"/>
                <w:kern w:val="0"/>
                <w:sz w:val="22"/>
                <w14:textFill>
                  <w14:solidFill>
                    <w14:schemeClr w14:val="tx1"/>
                  </w14:solidFill>
                </w14:textFill>
              </w:rPr>
              <w:t>85%，实验开出率100%；</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3.制定有学生实验成绩分项评分标准，考核办法合理，注重对知识应用能力的考核；</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4.教学改革紧跟时代步伐，富有特色。</w:t>
            </w:r>
          </w:p>
        </w:tc>
        <w:tc>
          <w:tcPr>
            <w:tcW w:w="54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1.注意更新教学思想观念，教学方案设计基本合理，实验项目数量与实验内容基本满足应用型人才培养要求；</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2.有综合性、设计性实验，实验开出率≥90%；</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3.有实验评分标准，考核学生知识点的掌握情况，考核办法基本合理；</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4.教学根据培养方案要求同步更新。</w:t>
            </w:r>
          </w:p>
        </w:tc>
      </w:tr>
      <w:tr>
        <w:tblPrEx>
          <w:tblCellMar>
            <w:top w:w="0" w:type="dxa"/>
            <w:left w:w="108" w:type="dxa"/>
            <w:bottom w:w="0" w:type="dxa"/>
            <w:right w:w="108" w:type="dxa"/>
          </w:tblCellMar>
        </w:tblPrEx>
        <w:trPr>
          <w:trHeight w:val="1697" w:hRule="atLeast"/>
          <w:jc w:val="center"/>
        </w:trPr>
        <w:tc>
          <w:tcPr>
            <w:tcW w:w="14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themeColor="text1"/>
                <w:kern w:val="0"/>
                <w:sz w:val="22"/>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实验指导书</w:t>
            </w:r>
          </w:p>
        </w:tc>
        <w:tc>
          <w:tcPr>
            <w:tcW w:w="5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1.按照教学大纲要求选择适用的正式出版实验教材或使用具有特色的自编实验指导书，并及时更新；</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2.实验指导步骤条理清楚完整，基本理论、基本知识、基本技能目标要求明确；</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3.对实验产生的问题有防范预案和应对措施。</w:t>
            </w:r>
          </w:p>
        </w:tc>
        <w:tc>
          <w:tcPr>
            <w:tcW w:w="54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1.有实验指导书；</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2.有指导步骤；</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3.内容满足实验指导书规范要求。</w:t>
            </w:r>
          </w:p>
        </w:tc>
      </w:tr>
      <w:tr>
        <w:tblPrEx>
          <w:tblCellMar>
            <w:top w:w="0" w:type="dxa"/>
            <w:left w:w="108" w:type="dxa"/>
            <w:bottom w:w="0" w:type="dxa"/>
            <w:right w:w="108" w:type="dxa"/>
          </w:tblCellMar>
        </w:tblPrEx>
        <w:trPr>
          <w:trHeight w:val="1378" w:hRule="atLeast"/>
          <w:jc w:val="center"/>
        </w:trPr>
        <w:tc>
          <w:tcPr>
            <w:tcW w:w="14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themeColor="text1"/>
                <w:kern w:val="0"/>
                <w:sz w:val="22"/>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实验准备</w:t>
            </w:r>
          </w:p>
        </w:tc>
        <w:tc>
          <w:tcPr>
            <w:tcW w:w="5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1.实验准备认真、充分，教学文件齐备，器材、元件、配件、药品等齐全，仪器设备完好，能保证所需的套数；</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2.教师精通实验内容，熟练掌握实验过程、步骤及相关数据采集方法，预做实验并提供实验报告样本。</w:t>
            </w:r>
          </w:p>
        </w:tc>
        <w:tc>
          <w:tcPr>
            <w:tcW w:w="54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1.仪器设备完好，所需元器件药品等齐全，有基本的实验教学文件；</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2.教师教学态度端正，准备工作认真，基本满足学生实验的需要。</w:t>
            </w:r>
          </w:p>
        </w:tc>
      </w:tr>
      <w:tr>
        <w:tblPrEx>
          <w:tblCellMar>
            <w:top w:w="0" w:type="dxa"/>
            <w:left w:w="108" w:type="dxa"/>
            <w:bottom w:w="0" w:type="dxa"/>
            <w:right w:w="108" w:type="dxa"/>
          </w:tblCellMar>
        </w:tblPrEx>
        <w:trPr>
          <w:trHeight w:val="1529" w:hRule="atLeast"/>
          <w:jc w:val="center"/>
        </w:trPr>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实验教学组织实施</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教学内容</w:t>
            </w:r>
          </w:p>
        </w:tc>
        <w:tc>
          <w:tcPr>
            <w:tcW w:w="5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1.实验内容符合教学大纲要求，培养学生掌握实验基本原理与方法</w:t>
            </w:r>
            <w:r>
              <w:rPr>
                <w:rFonts w:hint="eastAsia" w:ascii="宋体" w:hAnsi="宋体" w:eastAsia="宋体" w:cs="宋体"/>
                <w:color w:val="000000" w:themeColor="text1"/>
                <w:kern w:val="0"/>
                <w:sz w:val="22"/>
                <w:lang w:eastAsia="zh-CN"/>
                <w14:textFill>
                  <w14:solidFill>
                    <w14:schemeClr w14:val="tx1"/>
                  </w14:solidFill>
                </w14:textFill>
              </w:rPr>
              <w:t>，以及</w:t>
            </w:r>
            <w:r>
              <w:rPr>
                <w:rFonts w:hint="eastAsia" w:ascii="宋体" w:hAnsi="宋体" w:eastAsia="宋体" w:cs="宋体"/>
                <w:color w:val="000000" w:themeColor="text1"/>
                <w:kern w:val="0"/>
                <w:sz w:val="22"/>
                <w14:textFill>
                  <w14:solidFill>
                    <w14:schemeClr w14:val="tx1"/>
                  </w14:solidFill>
                </w14:textFill>
              </w:rPr>
              <w:t>解决工程问题的能力；</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2.讲解示范简明扼要，要求明确，有板书或电子演示课件；</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3.实验教学内容有效支撑课程目标。</w:t>
            </w:r>
          </w:p>
        </w:tc>
        <w:tc>
          <w:tcPr>
            <w:tcW w:w="54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1.实验内容基本符合教学大纲要求，可以培养学生解决工程问题的能力；</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2.实验内容与方法有进行讲解说明；</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3.教学内容基本满足课程目标要求。</w:t>
            </w:r>
          </w:p>
        </w:tc>
      </w:tr>
      <w:tr>
        <w:tblPrEx>
          <w:tblCellMar>
            <w:top w:w="0" w:type="dxa"/>
            <w:left w:w="108" w:type="dxa"/>
            <w:bottom w:w="0" w:type="dxa"/>
            <w:right w:w="108" w:type="dxa"/>
          </w:tblCellMar>
        </w:tblPrEx>
        <w:trPr>
          <w:trHeight w:val="1437" w:hRule="atLeast"/>
          <w:jc w:val="center"/>
        </w:trPr>
        <w:tc>
          <w:tcPr>
            <w:tcW w:w="14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themeColor="text1"/>
                <w:kern w:val="0"/>
                <w:sz w:val="22"/>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教学方法</w:t>
            </w:r>
          </w:p>
        </w:tc>
        <w:tc>
          <w:tcPr>
            <w:tcW w:w="5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1.教学方法灵活、得当，能给学生思考、联想、创新的启迪；</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2.突出学生的主体地位，充分调动学生的学习积极性；</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3.指导学生独立自主地完成实验。</w:t>
            </w:r>
          </w:p>
        </w:tc>
        <w:tc>
          <w:tcPr>
            <w:tcW w:w="54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1.教学方法基本得当；</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2.调动大部分学生积极地参与实验教学活动；</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3.指导学生基本完成实验任务。</w:t>
            </w:r>
          </w:p>
        </w:tc>
      </w:tr>
      <w:tr>
        <w:tblPrEx>
          <w:tblCellMar>
            <w:top w:w="0" w:type="dxa"/>
            <w:left w:w="108" w:type="dxa"/>
            <w:bottom w:w="0" w:type="dxa"/>
            <w:right w:w="108" w:type="dxa"/>
          </w:tblCellMar>
        </w:tblPrEx>
        <w:trPr>
          <w:trHeight w:val="1710" w:hRule="atLeast"/>
          <w:jc w:val="center"/>
        </w:trPr>
        <w:tc>
          <w:tcPr>
            <w:tcW w:w="14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themeColor="text1"/>
                <w:kern w:val="0"/>
                <w:sz w:val="22"/>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教学过程</w:t>
            </w:r>
          </w:p>
        </w:tc>
        <w:tc>
          <w:tcPr>
            <w:tcW w:w="5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1.指导过程中认真记录和评定学生的操作情况，按实验教学规范进行指导；</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2.分组合理，保证学生按实验教学要求，都能做到实际动手操作（基础课实验原则上1人一组，专业课实验按照开设实验基本要求实行分组）。</w:t>
            </w:r>
          </w:p>
        </w:tc>
        <w:tc>
          <w:tcPr>
            <w:tcW w:w="54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1.指导过程符合规范；</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2.学生分组基本符合规定。</w:t>
            </w:r>
          </w:p>
        </w:tc>
      </w:tr>
      <w:tr>
        <w:tblPrEx>
          <w:tblCellMar>
            <w:top w:w="0" w:type="dxa"/>
            <w:left w:w="108" w:type="dxa"/>
            <w:bottom w:w="0" w:type="dxa"/>
            <w:right w:w="108" w:type="dxa"/>
          </w:tblCellMar>
        </w:tblPrEx>
        <w:trPr>
          <w:trHeight w:val="1800" w:hRule="atLeast"/>
          <w:jc w:val="center"/>
        </w:trPr>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实验报告成绩评定与总结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实验报告</w:t>
            </w:r>
          </w:p>
        </w:tc>
        <w:tc>
          <w:tcPr>
            <w:tcW w:w="5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1.指导学生编写内容详实、形式规范、总结分析完善的实验报告；</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2.认真、及时地批改实验报告，并在批语中帮助学生分析实验报告中存在的问题；</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3.注意从实验报告中发现教学中存在的问题，提出建议，不断改进实验教学。</w:t>
            </w:r>
          </w:p>
        </w:tc>
        <w:tc>
          <w:tcPr>
            <w:tcW w:w="54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1.学生实验报告基本规范；</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2.按规定对实验报告进行批改；</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3.能从实验报告中发现实验教学存在的问题，并予以改进。</w:t>
            </w:r>
          </w:p>
        </w:tc>
      </w:tr>
      <w:tr>
        <w:tblPrEx>
          <w:tblCellMar>
            <w:top w:w="0" w:type="dxa"/>
            <w:left w:w="108" w:type="dxa"/>
            <w:bottom w:w="0" w:type="dxa"/>
            <w:right w:w="108" w:type="dxa"/>
          </w:tblCellMar>
        </w:tblPrEx>
        <w:trPr>
          <w:trHeight w:val="1340" w:hRule="atLeast"/>
          <w:jc w:val="center"/>
        </w:trPr>
        <w:tc>
          <w:tcPr>
            <w:tcW w:w="14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themeColor="text1"/>
                <w:kern w:val="0"/>
                <w:sz w:val="22"/>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成绩评定与总结</w:t>
            </w:r>
          </w:p>
        </w:tc>
        <w:tc>
          <w:tcPr>
            <w:tcW w:w="5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1.考核记录准确、合理，成绩符合正态分布；</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2.对实验过程和结果的评价合理，基于实验课程的评价，体现持续改进实验教学质量的效果。</w:t>
            </w:r>
          </w:p>
        </w:tc>
        <w:tc>
          <w:tcPr>
            <w:tcW w:w="54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1.考核记录基本准确、合理，成绩基本符合正态分布；</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2.对实验过程和结果的评价基本合理，实验教学质量逐步有所改进。</w:t>
            </w:r>
          </w:p>
        </w:tc>
      </w:tr>
    </w:tbl>
    <w:p>
      <w:pP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说明：</w:t>
      </w:r>
    </w:p>
    <w:p>
      <w:pP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1.实验开出率指实际开出实验数量与课程应开出实验数（专业教学所</w:t>
      </w:r>
      <w:r>
        <w:rPr>
          <w:rFonts w:hint="eastAsia" w:ascii="Times New Roman" w:hAnsi="Times New Roman" w:eastAsia="仿宋" w:cs="Times New Roman"/>
          <w:color w:val="000000" w:themeColor="text1"/>
          <w:sz w:val="24"/>
          <w:szCs w:val="24"/>
          <w:lang w:eastAsia="zh-CN"/>
          <w14:textFill>
            <w14:solidFill>
              <w14:schemeClr w14:val="tx1"/>
            </w14:solidFill>
          </w14:textFill>
        </w:rPr>
        <w:t>必需</w:t>
      </w:r>
      <w:r>
        <w:rPr>
          <w:rFonts w:ascii="Times New Roman" w:hAnsi="Times New Roman" w:eastAsia="仿宋" w:cs="Times New Roman"/>
          <w:color w:val="000000" w:themeColor="text1"/>
          <w:sz w:val="24"/>
          <w:szCs w:val="24"/>
          <w14:textFill>
            <w14:solidFill>
              <w14:schemeClr w14:val="tx1"/>
            </w14:solidFill>
          </w14:textFill>
        </w:rPr>
        <w:t>的）比例。</w:t>
      </w:r>
    </w:p>
    <w:p>
      <w:pP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2.本指标体系二级指标共8项。二级指标评估等级分为A、B、C、D四级，评估等级标准给出A、C两级，介于A、C级之间的为B级，低于C级的为D级。</w:t>
      </w:r>
    </w:p>
    <w:p>
      <w:pPr>
        <w:rPr>
          <w:rFonts w:ascii="仿宋" w:hAnsi="仿宋" w:eastAsia="仿宋"/>
          <w:color w:val="000000" w:themeColor="text1"/>
          <w:sz w:val="28"/>
          <w:szCs w:val="28"/>
          <w:shd w:val="clear" w:color="auto" w:fill="FFFFFF"/>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3.评估结论等级分为优秀、良好、合格、不合格四种，标准如下： 优秀：A</w:t>
      </w:r>
      <w:r>
        <w:rPr>
          <w:rFonts w:hint="eastAsia" w:ascii="Times New Roman" w:hAnsi="Times New Roman" w:eastAsia="仿宋" w:cs="Times New Roman"/>
          <w:color w:val="000000" w:themeColor="text1"/>
          <w:sz w:val="24"/>
          <w:szCs w:val="24"/>
          <w14:textFill>
            <w14:solidFill>
              <w14:schemeClr w14:val="tx1"/>
            </w14:solidFill>
          </w14:textFill>
        </w:rPr>
        <w:t>≥</w:t>
      </w:r>
      <w:r>
        <w:rPr>
          <w:rFonts w:ascii="Times New Roman" w:hAnsi="Times New Roman" w:eastAsia="仿宋" w:cs="Times New Roman"/>
          <w:color w:val="000000" w:themeColor="text1"/>
          <w:sz w:val="24"/>
          <w:szCs w:val="24"/>
          <w14:textFill>
            <w14:solidFill>
              <w14:schemeClr w14:val="tx1"/>
            </w14:solidFill>
          </w14:textFill>
        </w:rPr>
        <w:t>7，C</w:t>
      </w:r>
      <w:r>
        <w:rPr>
          <w:rFonts w:hint="eastAsia" w:ascii="Times New Roman" w:hAnsi="Times New Roman" w:eastAsia="仿宋" w:cs="Times New Roman"/>
          <w:color w:val="000000" w:themeColor="text1"/>
          <w:sz w:val="24"/>
          <w:szCs w:val="24"/>
          <w14:textFill>
            <w14:solidFill>
              <w14:schemeClr w14:val="tx1"/>
            </w14:solidFill>
          </w14:textFill>
        </w:rPr>
        <w:t>≤1</w:t>
      </w:r>
      <w:r>
        <w:rPr>
          <w:rFonts w:ascii="Times New Roman" w:hAnsi="Times New Roman" w:eastAsia="仿宋" w:cs="Times New Roman"/>
          <w:color w:val="000000" w:themeColor="text1"/>
          <w:sz w:val="24"/>
          <w:szCs w:val="24"/>
          <w14:textFill>
            <w14:solidFill>
              <w14:schemeClr w14:val="tx1"/>
            </w14:solidFill>
          </w14:textFill>
        </w:rPr>
        <w:t>;  良好：A+B</w:t>
      </w:r>
      <w:r>
        <w:rPr>
          <w:rFonts w:hint="eastAsia" w:ascii="Times New Roman" w:hAnsi="Times New Roman" w:eastAsia="仿宋" w:cs="Times New Roman"/>
          <w:color w:val="000000" w:themeColor="text1"/>
          <w:sz w:val="24"/>
          <w:szCs w:val="24"/>
          <w14:textFill>
            <w14:solidFill>
              <w14:schemeClr w14:val="tx1"/>
            </w14:solidFill>
          </w14:textFill>
        </w:rPr>
        <w:t>≥</w:t>
      </w:r>
      <w:r>
        <w:rPr>
          <w:rFonts w:ascii="Times New Roman" w:hAnsi="Times New Roman" w:eastAsia="仿宋" w:cs="Times New Roman"/>
          <w:color w:val="000000" w:themeColor="text1"/>
          <w:sz w:val="24"/>
          <w:szCs w:val="24"/>
          <w14:textFill>
            <w14:solidFill>
              <w14:schemeClr w14:val="tx1"/>
            </w14:solidFill>
          </w14:textFill>
        </w:rPr>
        <w:t>7;  合格：D</w:t>
      </w:r>
      <w:r>
        <w:rPr>
          <w:rFonts w:hint="eastAsia" w:ascii="Times New Roman" w:hAnsi="Times New Roman" w:eastAsia="仿宋" w:cs="Times New Roman"/>
          <w:color w:val="000000" w:themeColor="text1"/>
          <w:sz w:val="24"/>
          <w:szCs w:val="24"/>
          <w14:textFill>
            <w14:solidFill>
              <w14:schemeClr w14:val="tx1"/>
            </w14:solidFill>
          </w14:textFill>
        </w:rPr>
        <w:t>≤</w:t>
      </w:r>
      <w:r>
        <w:rPr>
          <w:rFonts w:ascii="Times New Roman" w:hAnsi="Times New Roman" w:eastAsia="仿宋" w:cs="Times New Roman"/>
          <w:color w:val="000000" w:themeColor="text1"/>
          <w:sz w:val="24"/>
          <w:szCs w:val="24"/>
          <w14:textFill>
            <w14:solidFill>
              <w14:schemeClr w14:val="tx1"/>
            </w14:solidFill>
          </w14:textFill>
        </w:rPr>
        <w:t>2。</w:t>
      </w:r>
    </w:p>
    <w:p>
      <w:pPr>
        <w:widowControl/>
        <w:ind w:firstLine="560" w:firstLineChars="200"/>
        <w:jc w:val="left"/>
        <w:rPr>
          <w:rFonts w:ascii="仿宋" w:hAnsi="仿宋" w:eastAsia="仿宋"/>
          <w:color w:val="000000" w:themeColor="text1"/>
          <w:sz w:val="28"/>
          <w:szCs w:val="28"/>
          <w:shd w:val="clear" w:color="auto" w:fill="FFFFFF"/>
          <w14:textFill>
            <w14:solidFill>
              <w14:schemeClr w14:val="tx1"/>
            </w14:solidFill>
          </w14:textFill>
        </w:rPr>
        <w:sectPr>
          <w:pgSz w:w="16838" w:h="11906" w:orient="landscape"/>
          <w:pgMar w:top="1587" w:right="1559" w:bottom="1587" w:left="1559" w:header="851" w:footer="992" w:gutter="0"/>
          <w:pgNumType w:fmt="numberInDash"/>
          <w:cols w:space="425" w:num="1"/>
          <w:docGrid w:type="lines" w:linePitch="312" w:charSpace="0"/>
        </w:sectPr>
      </w:pPr>
    </w:p>
    <w:p>
      <w:pPr>
        <w:spacing w:line="440" w:lineRule="exact"/>
        <w:rPr>
          <w:rFonts w:hint="eastAsia" w:ascii="Times New Roman" w:hAnsi="Times New Roman" w:eastAsia="黑体" w:cs="Times New Roman"/>
          <w:color w:val="000000" w:themeColor="text1"/>
          <w:szCs w:val="21"/>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r>
        <w:rPr>
          <w:rFonts w:hint="eastAsia" w:ascii="Times New Roman" w:hAnsi="Times New Roman" w:eastAsia="黑体" w:cs="Times New Roman"/>
          <w:color w:val="000000" w:themeColor="text1"/>
          <w:sz w:val="32"/>
          <w:szCs w:val="32"/>
          <w14:textFill>
            <w14:solidFill>
              <w14:schemeClr w14:val="tx1"/>
            </w14:solidFill>
          </w14:textFill>
        </w:rPr>
        <w:t xml:space="preserve"> </w:t>
      </w:r>
      <w:r>
        <w:rPr>
          <w:rFonts w:hint="eastAsia" w:ascii="Times New Roman" w:hAnsi="Times New Roman" w:eastAsia="黑体" w:cs="Times New Roman"/>
          <w:color w:val="000000" w:themeColor="text1"/>
          <w:szCs w:val="21"/>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实践教学质量评价表（实验实训类）</w:t>
      </w:r>
    </w:p>
    <w:p>
      <w:pPr>
        <w:spacing w:line="360" w:lineRule="auto"/>
        <w:rPr>
          <w:rFonts w:ascii="Times New Roman" w:hAnsi="Times New Roman" w:cs="Times New Roman"/>
          <w:bCs/>
          <w:color w:val="000000" w:themeColor="text1"/>
          <w:sz w:val="24"/>
          <w:szCs w:val="24"/>
          <w:u w:val="single"/>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课程名称：</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 xml:space="preserve">           任课教师：</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 xml:space="preserve">    </w:t>
      </w:r>
      <w:r>
        <w:rPr>
          <w:rFonts w:hint="eastAsia" w:ascii="Times New Roman" w:hAnsi="Times New Roman" w:cs="Times New Roman"/>
          <w:bCs/>
          <w:color w:val="000000" w:themeColor="text1"/>
          <w:sz w:val="24"/>
          <w:szCs w:val="24"/>
          <w14:textFill>
            <w14:solidFill>
              <w14:schemeClr w14:val="tx1"/>
            </w14:solidFill>
          </w14:textFill>
        </w:rPr>
        <w:t xml:space="preserve">    开课学期：20</w:t>
      </w:r>
      <w:r>
        <w:rPr>
          <w:rFonts w:hint="eastAsia" w:ascii="Times New Roman" w:hAnsi="Times New Roman" w:cs="Times New Roman"/>
          <w:bCs/>
          <w:color w:val="000000" w:themeColor="text1"/>
          <w:sz w:val="24"/>
          <w:szCs w:val="24"/>
          <w:u w:val="single"/>
          <w14:textFill>
            <w14:solidFill>
              <w14:schemeClr w14:val="tx1"/>
            </w14:solidFill>
          </w14:textFill>
        </w:rPr>
        <w:t xml:space="preserve">    </w:t>
      </w:r>
      <w:r>
        <w:rPr>
          <w:rFonts w:hint="eastAsia" w:ascii="Times New Roman" w:hAnsi="Times New Roman" w:cs="Times New Roman"/>
          <w:bCs/>
          <w:color w:val="000000" w:themeColor="text1"/>
          <w:sz w:val="24"/>
          <w:szCs w:val="24"/>
          <w14:textFill>
            <w14:solidFill>
              <w14:schemeClr w14:val="tx1"/>
            </w14:solidFill>
          </w14:textFill>
        </w:rPr>
        <w:t>-20</w:t>
      </w:r>
      <w:r>
        <w:rPr>
          <w:rFonts w:hint="eastAsia" w:ascii="Times New Roman" w:hAnsi="Times New Roman" w:cs="Times New Roman"/>
          <w:bCs/>
          <w:color w:val="000000" w:themeColor="text1"/>
          <w:sz w:val="24"/>
          <w:szCs w:val="24"/>
          <w:u w:val="single"/>
          <w14:textFill>
            <w14:solidFill>
              <w14:schemeClr w14:val="tx1"/>
            </w14:solidFill>
          </w14:textFill>
        </w:rPr>
        <w:t xml:space="preserve">    </w:t>
      </w:r>
      <w:r>
        <w:rPr>
          <w:rFonts w:hint="eastAsia" w:ascii="Times New Roman" w:hAnsi="Times New Roman" w:cs="Times New Roman"/>
          <w:bCs/>
          <w:color w:val="000000" w:themeColor="text1"/>
          <w:sz w:val="24"/>
          <w:szCs w:val="24"/>
          <w14:textFill>
            <w14:solidFill>
              <w14:schemeClr w14:val="tx1"/>
            </w14:solidFill>
          </w14:textFill>
        </w:rPr>
        <w:t>第</w:t>
      </w:r>
      <w:r>
        <w:rPr>
          <w:rFonts w:hint="eastAsia" w:ascii="Times New Roman" w:hAnsi="Times New Roman" w:cs="Times New Roman"/>
          <w:bCs/>
          <w:color w:val="000000" w:themeColor="text1"/>
          <w:sz w:val="24"/>
          <w:szCs w:val="24"/>
          <w:u w:val="single"/>
          <w14:textFill>
            <w14:solidFill>
              <w14:schemeClr w14:val="tx1"/>
            </w14:solidFill>
          </w14:textFill>
        </w:rPr>
        <w:t xml:space="preserve">  </w:t>
      </w:r>
      <w:r>
        <w:rPr>
          <w:rFonts w:hint="eastAsia" w:ascii="Times New Roman" w:hAnsi="Times New Roman" w:cs="Times New Roman"/>
          <w:bCs/>
          <w:color w:val="000000" w:themeColor="text1"/>
          <w:sz w:val="24"/>
          <w:szCs w:val="24"/>
          <w14:textFill>
            <w14:solidFill>
              <w14:schemeClr w14:val="tx1"/>
            </w14:solidFill>
          </w14:textFill>
        </w:rPr>
        <w:t>学期</w:t>
      </w:r>
    </w:p>
    <w:p>
      <w:pPr>
        <w:spacing w:line="360" w:lineRule="auto"/>
        <w:rPr>
          <w:rFonts w:ascii="Times New Roman" w:hAnsi="Times New Roman" w:cs="Times New Roman"/>
          <w:bCs/>
          <w:color w:val="000000" w:themeColor="text1"/>
          <w:sz w:val="24"/>
          <w:szCs w:val="24"/>
          <w:u w:val="single"/>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所在学院：</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 xml:space="preserve">                           </w:t>
      </w:r>
      <w:r>
        <w:rPr>
          <w:rFonts w:hint="eastAsia"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 xml:space="preserve"> 专业班级：</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hint="eastAsia"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u w:val="single"/>
          <w14:textFill>
            <w14:solidFill>
              <w14:schemeClr w14:val="tx1"/>
            </w14:solidFill>
          </w14:textFill>
        </w:rPr>
        <w:t xml:space="preserve">                      </w:t>
      </w:r>
    </w:p>
    <w:tbl>
      <w:tblPr>
        <w:tblStyle w:val="4"/>
        <w:tblW w:w="13948" w:type="dxa"/>
        <w:jc w:val="center"/>
        <w:tblLayout w:type="fixed"/>
        <w:tblCellMar>
          <w:top w:w="0" w:type="dxa"/>
          <w:left w:w="108" w:type="dxa"/>
          <w:bottom w:w="0" w:type="dxa"/>
          <w:right w:w="108" w:type="dxa"/>
        </w:tblCellMar>
      </w:tblPr>
      <w:tblGrid>
        <w:gridCol w:w="1451"/>
        <w:gridCol w:w="1276"/>
        <w:gridCol w:w="5312"/>
        <w:gridCol w:w="4703"/>
        <w:gridCol w:w="1206"/>
      </w:tblGrid>
      <w:tr>
        <w:tblPrEx>
          <w:tblCellMar>
            <w:top w:w="0" w:type="dxa"/>
            <w:left w:w="108" w:type="dxa"/>
            <w:bottom w:w="0" w:type="dxa"/>
            <w:right w:w="108" w:type="dxa"/>
          </w:tblCellMar>
        </w:tblPrEx>
        <w:trPr>
          <w:trHeight w:val="280" w:hRule="atLeast"/>
          <w:jc w:val="center"/>
        </w:trPr>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一级指标</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二级指标</w:t>
            </w:r>
          </w:p>
        </w:tc>
        <w:tc>
          <w:tcPr>
            <w:tcW w:w="100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质量等级标准</w:t>
            </w:r>
          </w:p>
        </w:tc>
        <w:tc>
          <w:tcPr>
            <w:tcW w:w="1206" w:type="dxa"/>
            <w:vMerge w:val="restart"/>
            <w:tcBorders>
              <w:top w:val="single" w:color="000000" w:sz="4" w:space="0"/>
              <w:left w:val="single" w:color="000000" w:sz="4" w:space="0"/>
              <w:right w:val="single" w:color="000000" w:sz="4" w:space="0"/>
            </w:tcBorders>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自评结果</w:t>
            </w:r>
          </w:p>
        </w:tc>
      </w:tr>
      <w:tr>
        <w:tblPrEx>
          <w:tblCellMar>
            <w:top w:w="0" w:type="dxa"/>
            <w:left w:w="108" w:type="dxa"/>
            <w:bottom w:w="0" w:type="dxa"/>
            <w:right w:w="108" w:type="dxa"/>
          </w:tblCellMar>
        </w:tblPrEx>
        <w:trPr>
          <w:trHeight w:val="280" w:hRule="atLeast"/>
          <w:jc w:val="center"/>
        </w:trPr>
        <w:tc>
          <w:tcPr>
            <w:tcW w:w="14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themeColor="text1"/>
                <w:kern w:val="0"/>
                <w:sz w:val="22"/>
                <w14:textFill>
                  <w14:solidFill>
                    <w14:schemeClr w14:val="tx1"/>
                  </w14:solidFill>
                </w14:textFill>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themeColor="text1"/>
                <w:kern w:val="0"/>
                <w:sz w:val="22"/>
                <w14:textFill>
                  <w14:solidFill>
                    <w14:schemeClr w14:val="tx1"/>
                  </w14:solidFill>
                </w14:textFill>
              </w:rPr>
            </w:pPr>
          </w:p>
        </w:tc>
        <w:tc>
          <w:tcPr>
            <w:tcW w:w="5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A</w:t>
            </w:r>
          </w:p>
        </w:tc>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C</w:t>
            </w:r>
          </w:p>
        </w:tc>
        <w:tc>
          <w:tcPr>
            <w:tcW w:w="1206" w:type="dxa"/>
            <w:vMerge w:val="continue"/>
            <w:tcBorders>
              <w:left w:val="single" w:color="000000" w:sz="4" w:space="0"/>
              <w:right w:val="single" w:color="000000" w:sz="4" w:space="0"/>
            </w:tcBorders>
          </w:tcPr>
          <w:p>
            <w:pPr>
              <w:widowControl/>
              <w:jc w:val="left"/>
              <w:rPr>
                <w:rFonts w:ascii="宋体" w:hAnsi="宋体" w:eastAsia="宋体" w:cs="宋体"/>
                <w:b/>
                <w:bCs/>
                <w:color w:val="000000" w:themeColor="text1"/>
                <w:kern w:val="0"/>
                <w:sz w:val="22"/>
                <w14:textFill>
                  <w14:solidFill>
                    <w14:schemeClr w14:val="tx1"/>
                  </w14:solidFill>
                </w14:textFill>
              </w:rPr>
            </w:pPr>
          </w:p>
        </w:tc>
      </w:tr>
      <w:tr>
        <w:tblPrEx>
          <w:tblCellMar>
            <w:top w:w="0" w:type="dxa"/>
            <w:left w:w="108" w:type="dxa"/>
            <w:bottom w:w="0" w:type="dxa"/>
            <w:right w:w="108" w:type="dxa"/>
          </w:tblCellMar>
        </w:tblPrEx>
        <w:trPr>
          <w:trHeight w:val="2291" w:hRule="atLeast"/>
          <w:jc w:val="center"/>
        </w:trPr>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教学文件及实验准备</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教学大纲</w:t>
            </w:r>
          </w:p>
        </w:tc>
        <w:tc>
          <w:tcPr>
            <w:tcW w:w="5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1.教学思想观念与时俱进，教学方案设计合理，实验项目数量与实验内容应符合应用型人才培养目标要求；</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2.三性实验比例</w:t>
            </w:r>
            <w:r>
              <w:rPr>
                <w:rFonts w:hint="eastAsia" w:ascii="Times New Roman" w:hAnsi="Times New Roman" w:eastAsia="仿宋" w:cs="Times New Roman"/>
                <w:color w:val="000000" w:themeColor="text1"/>
                <w:sz w:val="24"/>
                <w:szCs w:val="24"/>
                <w14:textFill>
                  <w14:solidFill>
                    <w14:schemeClr w14:val="tx1"/>
                  </w14:solidFill>
                </w14:textFill>
              </w:rPr>
              <w:t>≥</w:t>
            </w:r>
            <w:r>
              <w:rPr>
                <w:rFonts w:hint="eastAsia" w:ascii="宋体" w:hAnsi="宋体" w:eastAsia="宋体" w:cs="宋体"/>
                <w:color w:val="000000" w:themeColor="text1"/>
                <w:kern w:val="0"/>
                <w:sz w:val="22"/>
                <w14:textFill>
                  <w14:solidFill>
                    <w14:schemeClr w14:val="tx1"/>
                  </w14:solidFill>
                </w14:textFill>
              </w:rPr>
              <w:t>85%，实验开出率100%；</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3.制定有学生实验成绩分项评分标准，考核办法合理，注重对知识应用能力的考核；</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4.教学改革紧跟时代步伐，富有特色。</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1.注意更新教学思想观念，教学方案设计基本合理，实验项目数量与实验内容基本满足应用型人才培养要求；</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2.有综合性、设计性实验，实验开出率≥90%；</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3.有实验评分标准，考核学生知识点的掌握情况，考核办法基本合理；</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4.教学根据培养方案要求同步更新。</w:t>
            </w:r>
          </w:p>
        </w:tc>
        <w:tc>
          <w:tcPr>
            <w:tcW w:w="1206"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eastAsia="宋体" w:cs="宋体"/>
                <w:color w:val="000000" w:themeColor="text1"/>
                <w:kern w:val="0"/>
                <w:sz w:val="22"/>
                <w14:textFill>
                  <w14:solidFill>
                    <w14:schemeClr w14:val="tx1"/>
                  </w14:solidFill>
                </w14:textFill>
              </w:rPr>
            </w:pPr>
          </w:p>
        </w:tc>
      </w:tr>
      <w:tr>
        <w:tblPrEx>
          <w:tblCellMar>
            <w:top w:w="0" w:type="dxa"/>
            <w:left w:w="108" w:type="dxa"/>
            <w:bottom w:w="0" w:type="dxa"/>
            <w:right w:w="108" w:type="dxa"/>
          </w:tblCellMar>
        </w:tblPrEx>
        <w:trPr>
          <w:trHeight w:val="1900" w:hRule="atLeast"/>
          <w:jc w:val="center"/>
        </w:trPr>
        <w:tc>
          <w:tcPr>
            <w:tcW w:w="14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themeColor="text1"/>
                <w:kern w:val="0"/>
                <w:sz w:val="22"/>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实验指导书</w:t>
            </w:r>
          </w:p>
        </w:tc>
        <w:tc>
          <w:tcPr>
            <w:tcW w:w="5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1.按照教学大纲要求选择适用的正式出版实验教材或使用具有特色的自编实验指导书，并及时更新；</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2.实验指导步骤条理清楚完整，基本理论、基本知识、基本技能目标要求明确；</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3.对实验产生的问题有防范预案和应对措施。</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1.有实验指导书；</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2.有指导步骤；</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3.内容满足实验指导书规范要求。</w:t>
            </w:r>
          </w:p>
        </w:tc>
        <w:tc>
          <w:tcPr>
            <w:tcW w:w="1206"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eastAsia="宋体" w:cs="宋体"/>
                <w:color w:val="000000" w:themeColor="text1"/>
                <w:kern w:val="0"/>
                <w:sz w:val="22"/>
                <w14:textFill>
                  <w14:solidFill>
                    <w14:schemeClr w14:val="tx1"/>
                  </w14:solidFill>
                </w14:textFill>
              </w:rPr>
            </w:pPr>
          </w:p>
        </w:tc>
      </w:tr>
      <w:tr>
        <w:tblPrEx>
          <w:tblCellMar>
            <w:top w:w="0" w:type="dxa"/>
            <w:left w:w="108" w:type="dxa"/>
            <w:bottom w:w="0" w:type="dxa"/>
            <w:right w:w="108" w:type="dxa"/>
          </w:tblCellMar>
        </w:tblPrEx>
        <w:trPr>
          <w:trHeight w:val="2238" w:hRule="atLeast"/>
          <w:jc w:val="center"/>
        </w:trPr>
        <w:tc>
          <w:tcPr>
            <w:tcW w:w="14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themeColor="text1"/>
                <w:kern w:val="0"/>
                <w:sz w:val="22"/>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实验准备及过程组织</w:t>
            </w:r>
          </w:p>
        </w:tc>
        <w:tc>
          <w:tcPr>
            <w:tcW w:w="5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1.器材、元件、配件、药品等齐全，仪器设备完好，能保证所需的套数；</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2.教师精通实验内容，熟练掌握实验过程、步骤及相关数据采集方法，预做实验并提供实验报告样本。</w:t>
            </w:r>
          </w:p>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3.分组合理，保证学生按实验教学要求，都能做到实际动手操作（基础课实验原则上1人一组，专业课实验按照开设实验基本要求实行分组）。</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1.仪器设备完好，所需元器件药品等齐全，有基本的实验教学文件；</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2.教师教学态度端正，准备工作认真，基本满足学生实验的需要。</w:t>
            </w:r>
          </w:p>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3.学生分组基本符合规定。</w:t>
            </w:r>
          </w:p>
        </w:tc>
        <w:tc>
          <w:tcPr>
            <w:tcW w:w="1206"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eastAsia="宋体" w:cs="宋体"/>
                <w:color w:val="000000" w:themeColor="text1"/>
                <w:kern w:val="0"/>
                <w:sz w:val="22"/>
                <w14:textFill>
                  <w14:solidFill>
                    <w14:schemeClr w14:val="tx1"/>
                  </w14:solidFill>
                </w14:textFill>
              </w:rPr>
            </w:pPr>
          </w:p>
        </w:tc>
      </w:tr>
      <w:tr>
        <w:tblPrEx>
          <w:tblCellMar>
            <w:top w:w="0" w:type="dxa"/>
            <w:left w:w="108" w:type="dxa"/>
            <w:bottom w:w="0" w:type="dxa"/>
            <w:right w:w="108" w:type="dxa"/>
          </w:tblCellMar>
        </w:tblPrEx>
        <w:trPr>
          <w:trHeight w:val="1800" w:hRule="atLeast"/>
          <w:jc w:val="center"/>
        </w:trPr>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实验报告成绩评定与总结</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实验报告</w:t>
            </w:r>
          </w:p>
        </w:tc>
        <w:tc>
          <w:tcPr>
            <w:tcW w:w="5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1.指导学生编写内容详实、形式规范、总结分析完善的实验报告；</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2.认真、及时地批改实验报告，并在批语中帮助学生分析实验报告中存在的问题；</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3.注意从实验报告中发现教学中存在的问题，提出建议，不断改进实验教学。</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1.学生实验报告基本规范；</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2.按规定对实验报告进行批改；</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3.能从实验报告中发现实验教学存在的问题，并予以改进。</w:t>
            </w:r>
          </w:p>
        </w:tc>
        <w:tc>
          <w:tcPr>
            <w:tcW w:w="1206"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eastAsia="宋体" w:cs="宋体"/>
                <w:color w:val="000000" w:themeColor="text1"/>
                <w:kern w:val="0"/>
                <w:sz w:val="22"/>
                <w14:textFill>
                  <w14:solidFill>
                    <w14:schemeClr w14:val="tx1"/>
                  </w14:solidFill>
                </w14:textFill>
              </w:rPr>
            </w:pPr>
          </w:p>
        </w:tc>
      </w:tr>
      <w:tr>
        <w:tblPrEx>
          <w:tblCellMar>
            <w:top w:w="0" w:type="dxa"/>
            <w:left w:w="108" w:type="dxa"/>
            <w:bottom w:w="0" w:type="dxa"/>
            <w:right w:w="108" w:type="dxa"/>
          </w:tblCellMar>
        </w:tblPrEx>
        <w:trPr>
          <w:trHeight w:val="1179" w:hRule="atLeast"/>
          <w:jc w:val="center"/>
        </w:trPr>
        <w:tc>
          <w:tcPr>
            <w:tcW w:w="14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color w:val="000000" w:themeColor="text1"/>
                <w:kern w:val="0"/>
                <w:sz w:val="22"/>
                <w14:textFill>
                  <w14:solidFill>
                    <w14:schemeClr w14:val="tx1"/>
                  </w14:solidFill>
                </w14:textFill>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成绩评定与总结</w:t>
            </w:r>
          </w:p>
        </w:tc>
        <w:tc>
          <w:tcPr>
            <w:tcW w:w="5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1.考核记录准确、合理，成绩符合正态分布；</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2.对实验过程和结果的评价合理，基于实验课程的评价，体现持续改进实验教学质量的效果。</w:t>
            </w:r>
          </w:p>
        </w:tc>
        <w:tc>
          <w:tcPr>
            <w:tcW w:w="4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color w:val="000000" w:themeColor="text1"/>
                <w:kern w:val="0"/>
                <w:sz w:val="22"/>
                <w14:textFill>
                  <w14:solidFill>
                    <w14:schemeClr w14:val="tx1"/>
                  </w14:solidFill>
                </w14:textFill>
              </w:rPr>
            </w:pPr>
            <w:r>
              <w:rPr>
                <w:rFonts w:hint="eastAsia" w:ascii="宋体" w:hAnsi="宋体" w:eastAsia="宋体" w:cs="宋体"/>
                <w:color w:val="000000" w:themeColor="text1"/>
                <w:kern w:val="0"/>
                <w:sz w:val="22"/>
                <w14:textFill>
                  <w14:solidFill>
                    <w14:schemeClr w14:val="tx1"/>
                  </w14:solidFill>
                </w14:textFill>
              </w:rPr>
              <w:t>1.考核记录基本准确、合理，成绩基本符合正态分布；</w:t>
            </w:r>
            <w:r>
              <w:rPr>
                <w:rFonts w:hint="eastAsia" w:ascii="宋体" w:hAnsi="宋体" w:eastAsia="宋体" w:cs="宋体"/>
                <w:color w:val="000000" w:themeColor="text1"/>
                <w:kern w:val="0"/>
                <w:sz w:val="22"/>
                <w14:textFill>
                  <w14:solidFill>
                    <w14:schemeClr w14:val="tx1"/>
                  </w14:solidFill>
                </w14:textFill>
              </w:rPr>
              <w:br w:type="textWrapping"/>
            </w:r>
            <w:r>
              <w:rPr>
                <w:rFonts w:hint="eastAsia" w:ascii="宋体" w:hAnsi="宋体" w:eastAsia="宋体" w:cs="宋体"/>
                <w:color w:val="000000" w:themeColor="text1"/>
                <w:kern w:val="0"/>
                <w:sz w:val="22"/>
                <w14:textFill>
                  <w14:solidFill>
                    <w14:schemeClr w14:val="tx1"/>
                  </w14:solidFill>
                </w14:textFill>
              </w:rPr>
              <w:t>2.对实验过程和结果的评价基本合理，实验教学质量逐步有所改进。</w:t>
            </w:r>
          </w:p>
        </w:tc>
        <w:tc>
          <w:tcPr>
            <w:tcW w:w="1206" w:type="dxa"/>
            <w:tcBorders>
              <w:top w:val="single" w:color="000000" w:sz="4" w:space="0"/>
              <w:left w:val="single" w:color="000000" w:sz="4" w:space="0"/>
              <w:bottom w:val="single" w:color="000000" w:sz="4" w:space="0"/>
              <w:right w:val="single" w:color="000000" w:sz="4" w:space="0"/>
            </w:tcBorders>
          </w:tcPr>
          <w:p>
            <w:pPr>
              <w:widowControl/>
              <w:jc w:val="left"/>
              <w:rPr>
                <w:rFonts w:ascii="宋体" w:hAnsi="宋体" w:eastAsia="宋体" w:cs="宋体"/>
                <w:color w:val="000000" w:themeColor="text1"/>
                <w:kern w:val="0"/>
                <w:sz w:val="22"/>
                <w14:textFill>
                  <w14:solidFill>
                    <w14:schemeClr w14:val="tx1"/>
                  </w14:solidFill>
                </w14:textFill>
              </w:rPr>
            </w:pPr>
          </w:p>
        </w:tc>
      </w:tr>
      <w:tr>
        <w:tblPrEx>
          <w:tblCellMar>
            <w:top w:w="0" w:type="dxa"/>
            <w:left w:w="108" w:type="dxa"/>
            <w:bottom w:w="0" w:type="dxa"/>
            <w:right w:w="108" w:type="dxa"/>
          </w:tblCellMar>
        </w:tblPrEx>
        <w:trPr>
          <w:trHeight w:val="968" w:hRule="atLeast"/>
          <w:jc w:val="center"/>
        </w:trPr>
        <w:tc>
          <w:tcPr>
            <w:tcW w:w="1451"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评价结论</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eastAsia="宋体" w:cs="宋体"/>
                <w:b/>
                <w:bCs/>
                <w:color w:val="000000" w:themeColor="text1"/>
                <w:kern w:val="0"/>
                <w:sz w:val="22"/>
                <w14:textFill>
                  <w14:solidFill>
                    <w14:schemeClr w14:val="tx1"/>
                  </w14:solidFill>
                </w14:textFill>
              </w:rPr>
            </w:pPr>
          </w:p>
        </w:tc>
        <w:tc>
          <w:tcPr>
            <w:tcW w:w="53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检查人签名：</w:t>
            </w:r>
          </w:p>
          <w:p>
            <w:pPr>
              <w:widowControl/>
              <w:jc w:val="left"/>
              <w:rPr>
                <w:rFonts w:ascii="宋体" w:hAnsi="宋体" w:eastAsia="宋体" w:cs="宋体"/>
                <w:b/>
                <w:bCs/>
                <w:color w:val="000000" w:themeColor="text1"/>
                <w:kern w:val="0"/>
                <w:sz w:val="22"/>
                <w14:textFill>
                  <w14:solidFill>
                    <w14:schemeClr w14:val="tx1"/>
                  </w14:solidFill>
                </w14:textFill>
              </w:rPr>
            </w:pPr>
          </w:p>
          <w:p>
            <w:pPr>
              <w:widowControl/>
              <w:jc w:val="left"/>
              <w:rPr>
                <w:rFonts w:ascii="宋体" w:hAnsi="宋体" w:eastAsia="宋体" w:cs="宋体"/>
                <w:b/>
                <w:bCs/>
                <w:color w:val="000000" w:themeColor="text1"/>
                <w:kern w:val="0"/>
                <w:sz w:val="22"/>
                <w14:textFill>
                  <w14:solidFill>
                    <w14:schemeClr w14:val="tx1"/>
                  </w14:solidFill>
                </w14:textFill>
              </w:rPr>
            </w:pPr>
          </w:p>
          <w:p>
            <w:pPr>
              <w:widowControl/>
              <w:jc w:val="left"/>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 xml:space="preserve">                         年     月     日</w:t>
            </w:r>
          </w:p>
        </w:tc>
        <w:tc>
          <w:tcPr>
            <w:tcW w:w="59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学院复核意见：</w:t>
            </w:r>
          </w:p>
          <w:p>
            <w:pPr>
              <w:widowControl/>
              <w:jc w:val="left"/>
              <w:rPr>
                <w:rFonts w:ascii="宋体" w:hAnsi="宋体" w:eastAsia="宋体" w:cs="宋体"/>
                <w:b/>
                <w:bCs/>
                <w:color w:val="000000" w:themeColor="text1"/>
                <w:kern w:val="0"/>
                <w:sz w:val="22"/>
                <w14:textFill>
                  <w14:solidFill>
                    <w14:schemeClr w14:val="tx1"/>
                  </w14:solidFill>
                </w14:textFill>
              </w:rPr>
            </w:pPr>
          </w:p>
          <w:p>
            <w:pPr>
              <w:widowControl/>
              <w:ind w:firstLine="2650" w:firstLineChars="1200"/>
              <w:jc w:val="left"/>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系主任签字：</w:t>
            </w:r>
          </w:p>
          <w:p>
            <w:pPr>
              <w:widowControl/>
              <w:jc w:val="right"/>
              <w:rPr>
                <w:rFonts w:ascii="宋体" w:hAnsi="宋体" w:eastAsia="宋体" w:cs="宋体"/>
                <w:b/>
                <w:bCs/>
                <w:color w:val="000000" w:themeColor="text1"/>
                <w:kern w:val="0"/>
                <w:sz w:val="22"/>
                <w14:textFill>
                  <w14:solidFill>
                    <w14:schemeClr w14:val="tx1"/>
                  </w14:solidFill>
                </w14:textFill>
              </w:rPr>
            </w:pPr>
            <w:r>
              <w:rPr>
                <w:rFonts w:hint="eastAsia" w:ascii="宋体" w:hAnsi="宋体" w:eastAsia="宋体" w:cs="宋体"/>
                <w:b/>
                <w:bCs/>
                <w:color w:val="000000" w:themeColor="text1"/>
                <w:kern w:val="0"/>
                <w:sz w:val="22"/>
                <w14:textFill>
                  <w14:solidFill>
                    <w14:schemeClr w14:val="tx1"/>
                  </w14:solidFill>
                </w14:textFill>
              </w:rPr>
              <w:t>年     月     日</w:t>
            </w:r>
          </w:p>
        </w:tc>
      </w:tr>
    </w:tbl>
    <w:p>
      <w:pP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说明：</w:t>
      </w:r>
    </w:p>
    <w:p>
      <w:pP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1.实验开出率指实际开出实验数量与课程应开出实验数（专业教学所</w:t>
      </w:r>
      <w:r>
        <w:rPr>
          <w:rFonts w:hint="eastAsia" w:ascii="Times New Roman" w:hAnsi="Times New Roman" w:eastAsia="仿宋" w:cs="Times New Roman"/>
          <w:color w:val="000000" w:themeColor="text1"/>
          <w:sz w:val="24"/>
          <w:szCs w:val="24"/>
          <w:lang w:eastAsia="zh-CN"/>
          <w14:textFill>
            <w14:solidFill>
              <w14:schemeClr w14:val="tx1"/>
            </w14:solidFill>
          </w14:textFill>
        </w:rPr>
        <w:t>必需</w:t>
      </w:r>
      <w:r>
        <w:rPr>
          <w:rFonts w:ascii="Times New Roman" w:hAnsi="Times New Roman" w:eastAsia="仿宋" w:cs="Times New Roman"/>
          <w:color w:val="000000" w:themeColor="text1"/>
          <w:sz w:val="24"/>
          <w:szCs w:val="24"/>
          <w14:textFill>
            <w14:solidFill>
              <w14:schemeClr w14:val="tx1"/>
            </w14:solidFill>
          </w14:textFill>
        </w:rPr>
        <w:t>的）比例。</w:t>
      </w:r>
    </w:p>
    <w:p>
      <w:pP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2.本</w:t>
      </w:r>
      <w:r>
        <w:rPr>
          <w:rFonts w:hint="eastAsia" w:ascii="Times New Roman" w:hAnsi="Times New Roman" w:eastAsia="仿宋" w:cs="Times New Roman"/>
          <w:color w:val="000000" w:themeColor="text1"/>
          <w:sz w:val="24"/>
          <w:szCs w:val="24"/>
          <w14:textFill>
            <w14:solidFill>
              <w14:schemeClr w14:val="tx1"/>
            </w14:solidFill>
          </w14:textFill>
        </w:rPr>
        <w:t>评价表</w:t>
      </w:r>
      <w:r>
        <w:rPr>
          <w:rFonts w:ascii="Times New Roman" w:hAnsi="Times New Roman" w:eastAsia="仿宋" w:cs="Times New Roman"/>
          <w:color w:val="000000" w:themeColor="text1"/>
          <w:sz w:val="24"/>
          <w:szCs w:val="24"/>
          <w14:textFill>
            <w14:solidFill>
              <w14:schemeClr w14:val="tx1"/>
            </w14:solidFill>
          </w14:textFill>
        </w:rPr>
        <w:t>二级指标共</w:t>
      </w:r>
      <w:r>
        <w:rPr>
          <w:rFonts w:hint="eastAsia" w:ascii="Times New Roman" w:hAnsi="Times New Roman" w:eastAsia="仿宋" w:cs="Times New Roman"/>
          <w:color w:val="000000" w:themeColor="text1"/>
          <w:sz w:val="24"/>
          <w:szCs w:val="24"/>
          <w14:textFill>
            <w14:solidFill>
              <w14:schemeClr w14:val="tx1"/>
            </w14:solidFill>
          </w14:textFill>
        </w:rPr>
        <w:t>5</w:t>
      </w:r>
      <w:r>
        <w:rPr>
          <w:rFonts w:ascii="Times New Roman" w:hAnsi="Times New Roman" w:eastAsia="仿宋" w:cs="Times New Roman"/>
          <w:color w:val="000000" w:themeColor="text1"/>
          <w:sz w:val="24"/>
          <w:szCs w:val="24"/>
          <w14:textFill>
            <w14:solidFill>
              <w14:schemeClr w14:val="tx1"/>
            </w14:solidFill>
          </w14:textFill>
        </w:rPr>
        <w:t>项。二级指标评估等级分为A、B、C、D四级，评估等级标准给出A、C两级，介于A、C级之间的为B级，低于C级的为D级。</w:t>
      </w:r>
    </w:p>
    <w:p>
      <w:pPr>
        <w:rPr>
          <w:rFonts w:ascii="Times New Roman" w:hAnsi="Times New Roman" w:eastAsia="仿宋" w:cs="Times New Roman"/>
          <w:color w:val="000000" w:themeColor="text1"/>
          <w:sz w:val="24"/>
          <w:szCs w:val="24"/>
          <w14:textFill>
            <w14:solidFill>
              <w14:schemeClr w14:val="tx1"/>
            </w14:solidFill>
          </w14:textFill>
        </w:rPr>
        <w:sectPr>
          <w:pgSz w:w="16838" w:h="11906" w:orient="landscape"/>
          <w:pgMar w:top="1587" w:right="1559" w:bottom="1587" w:left="1559" w:header="851" w:footer="992" w:gutter="0"/>
          <w:pgNumType w:fmt="numberInDash"/>
          <w:cols w:space="425" w:num="1"/>
          <w:docGrid w:type="lines" w:linePitch="312" w:charSpace="0"/>
        </w:sectPr>
      </w:pPr>
      <w:r>
        <w:rPr>
          <w:rFonts w:ascii="Times New Roman" w:hAnsi="Times New Roman" w:eastAsia="仿宋" w:cs="Times New Roman"/>
          <w:color w:val="000000" w:themeColor="text1"/>
          <w:sz w:val="24"/>
          <w:szCs w:val="24"/>
          <w14:textFill>
            <w14:solidFill>
              <w14:schemeClr w14:val="tx1"/>
            </w14:solidFill>
          </w14:textFill>
        </w:rPr>
        <w:t>3.评估结论等级分为优秀、良好、合格、不合格四种，标准如下： 优秀：A</w:t>
      </w:r>
      <w:r>
        <w:rPr>
          <w:rFonts w:hint="eastAsia" w:ascii="Times New Roman" w:hAnsi="Times New Roman" w:eastAsia="仿宋" w:cs="Times New Roman"/>
          <w:color w:val="000000" w:themeColor="text1"/>
          <w:sz w:val="24"/>
          <w:szCs w:val="24"/>
          <w14:textFill>
            <w14:solidFill>
              <w14:schemeClr w14:val="tx1"/>
            </w14:solidFill>
          </w14:textFill>
        </w:rPr>
        <w:t>≥4</w:t>
      </w:r>
      <w:r>
        <w:rPr>
          <w:rFonts w:ascii="Times New Roman" w:hAnsi="Times New Roman" w:eastAsia="仿宋" w:cs="Times New Roman"/>
          <w:color w:val="000000" w:themeColor="text1"/>
          <w:sz w:val="24"/>
          <w:szCs w:val="24"/>
          <w14:textFill>
            <w14:solidFill>
              <w14:schemeClr w14:val="tx1"/>
            </w14:solidFill>
          </w14:textFill>
        </w:rPr>
        <w:t>，C</w:t>
      </w:r>
      <w:r>
        <w:rPr>
          <w:rFonts w:hint="eastAsia" w:ascii="Times New Roman" w:hAnsi="Times New Roman" w:eastAsia="仿宋" w:cs="Times New Roman"/>
          <w:color w:val="000000" w:themeColor="text1"/>
          <w:sz w:val="24"/>
          <w:szCs w:val="24"/>
          <w14:textFill>
            <w14:solidFill>
              <w14:schemeClr w14:val="tx1"/>
            </w14:solidFill>
          </w14:textFill>
        </w:rPr>
        <w:t>≤1</w:t>
      </w:r>
      <w:r>
        <w:rPr>
          <w:rFonts w:ascii="Times New Roman" w:hAnsi="Times New Roman" w:eastAsia="仿宋" w:cs="Times New Roman"/>
          <w:color w:val="000000" w:themeColor="text1"/>
          <w:sz w:val="24"/>
          <w:szCs w:val="24"/>
          <w14:textFill>
            <w14:solidFill>
              <w14:schemeClr w14:val="tx1"/>
            </w14:solidFill>
          </w14:textFill>
        </w:rPr>
        <w:t>;  良好：A+B</w:t>
      </w:r>
      <w:r>
        <w:rPr>
          <w:rFonts w:hint="eastAsia" w:ascii="Times New Roman" w:hAnsi="Times New Roman" w:eastAsia="仿宋" w:cs="Times New Roman"/>
          <w:color w:val="000000" w:themeColor="text1"/>
          <w:sz w:val="24"/>
          <w:szCs w:val="24"/>
          <w14:textFill>
            <w14:solidFill>
              <w14:schemeClr w14:val="tx1"/>
            </w14:solidFill>
          </w14:textFill>
        </w:rPr>
        <w:t>≥4</w:t>
      </w:r>
      <w:r>
        <w:rPr>
          <w:rFonts w:ascii="Times New Roman" w:hAnsi="Times New Roman" w:eastAsia="仿宋" w:cs="Times New Roman"/>
          <w:color w:val="000000" w:themeColor="text1"/>
          <w:sz w:val="24"/>
          <w:szCs w:val="24"/>
          <w14:textFill>
            <w14:solidFill>
              <w14:schemeClr w14:val="tx1"/>
            </w14:solidFill>
          </w14:textFill>
        </w:rPr>
        <w:t>;  合格：D</w:t>
      </w:r>
      <w:r>
        <w:rPr>
          <w:rFonts w:hint="eastAsia" w:ascii="Times New Roman" w:hAnsi="Times New Roman" w:eastAsia="仿宋" w:cs="Times New Roman"/>
          <w:color w:val="000000" w:themeColor="text1"/>
          <w:sz w:val="24"/>
          <w:szCs w:val="24"/>
          <w14:textFill>
            <w14:solidFill>
              <w14:schemeClr w14:val="tx1"/>
            </w14:solidFill>
          </w14:textFill>
        </w:rPr>
        <w:t>≤</w:t>
      </w:r>
      <w:r>
        <w:rPr>
          <w:rFonts w:ascii="Times New Roman" w:hAnsi="Times New Roman" w:eastAsia="仿宋" w:cs="Times New Roman"/>
          <w:color w:val="000000" w:themeColor="text1"/>
          <w:sz w:val="24"/>
          <w:szCs w:val="24"/>
          <w14:textFill>
            <w14:solidFill>
              <w14:schemeClr w14:val="tx1"/>
            </w14:solidFill>
          </w14:textFill>
        </w:rPr>
        <w:t>2。</w:t>
      </w: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（本页无正文）</w:t>
      </w: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rPr>
          <w:rFonts w:ascii="Times New Roman" w:hAnsi="Times New Roman" w:eastAsia="仿宋" w:cs="Times New Roman"/>
          <w:color w:val="000000" w:themeColor="text1"/>
          <w:sz w:val="24"/>
          <w:szCs w:val="24"/>
          <w14:textFill>
            <w14:solidFill>
              <w14:schemeClr w14:val="tx1"/>
            </w14:solidFill>
          </w14:textFill>
        </w:rPr>
      </w:pPr>
    </w:p>
    <w:p>
      <w:pPr>
        <w:pBdr>
          <w:top w:val="single" w:color="auto" w:sz="4" w:space="0"/>
          <w:bottom w:val="single" w:color="auto" w:sz="4" w:space="0"/>
        </w:pBdr>
        <w:ind w:firstLine="280" w:firstLineChars="100"/>
        <w:rPr>
          <w:rFonts w:ascii="Times New Roman" w:hAnsi="Times New Roman" w:eastAsia="仿宋" w:cs="Times New Roman"/>
          <w:color w:val="000000" w:themeColor="text1"/>
          <w:sz w:val="24"/>
          <w:szCs w:val="24"/>
          <w14:textFill>
            <w14:solidFill>
              <w14:schemeClr w14:val="tx1"/>
            </w14:solidFill>
          </w14:textFill>
        </w:rPr>
      </w:pPr>
      <w:r>
        <w:rPr>
          <w:rFonts w:hint="eastAsia" w:ascii="仿宋_GB2312" w:hAnsi="仿宋_GB2312" w:eastAsia="仿宋_GB2312" w:cs="仿宋_GB2312"/>
          <w:sz w:val="28"/>
          <w:szCs w:val="28"/>
        </w:rPr>
        <w:t>福州理工学院教务处                    2023年4月</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日印发</w:t>
      </w: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00F26ED3"/>
    <w:rsid w:val="00003769"/>
    <w:rsid w:val="00224559"/>
    <w:rsid w:val="002C4CFA"/>
    <w:rsid w:val="00904B2D"/>
    <w:rsid w:val="00C653B5"/>
    <w:rsid w:val="00D178CE"/>
    <w:rsid w:val="00DA3242"/>
    <w:rsid w:val="00F26ED3"/>
    <w:rsid w:val="136B7720"/>
    <w:rsid w:val="28906B78"/>
    <w:rsid w:val="2DEB6E74"/>
    <w:rsid w:val="3CB91B5C"/>
    <w:rsid w:val="451B406D"/>
    <w:rsid w:val="47993C52"/>
    <w:rsid w:val="4D2D421A"/>
    <w:rsid w:val="58746212"/>
    <w:rsid w:val="5CD67676"/>
    <w:rsid w:val="64894053"/>
    <w:rsid w:val="72A9667D"/>
    <w:rsid w:val="7D452E39"/>
    <w:rsid w:val="7F2D5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western"/>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List Paragraph"/>
    <w:basedOn w:val="1"/>
    <w:qFormat/>
    <w:uiPriority w:val="34"/>
    <w:pPr>
      <w:ind w:firstLine="420" w:firstLineChars="200"/>
    </w:pPr>
  </w:style>
  <w:style w:type="character" w:customStyle="1" w:styleId="8">
    <w:name w:val="页眉 Char"/>
    <w:basedOn w:val="5"/>
    <w:link w:val="3"/>
    <w:qFormat/>
    <w:uiPriority w:val="99"/>
    <w:rPr>
      <w:kern w:val="2"/>
      <w:sz w:val="18"/>
      <w:szCs w:val="18"/>
    </w:rPr>
  </w:style>
  <w:style w:type="character" w:customStyle="1" w:styleId="9">
    <w:name w:val="页脚 Char"/>
    <w:basedOn w:val="5"/>
    <w:link w:val="2"/>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9</Pages>
  <Words>681</Words>
  <Characters>3887</Characters>
  <Lines>32</Lines>
  <Paragraphs>9</Paragraphs>
  <TotalTime>22</TotalTime>
  <ScaleCrop>false</ScaleCrop>
  <LinksUpToDate>false</LinksUpToDate>
  <CharactersWithSpaces>4559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2023-04-19T09:04:00Z</dcterms:created>
  <dc:creator>FIT</dc:creator>
  <cp:lastModifiedBy>C a i</cp:lastModifiedBy>
  <dcterms:modified xsi:type="dcterms:W3CDTF">2023-04-21T01:33:12Z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6B7217D8611C4732AB5331DEB6A7566E_12</vt:lpwstr>
  </property>
</Properties>
</file>