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spacing w:line="700" w:lineRule="exact"/>
        <w:contextualSpacing/>
        <w:jc w:val="center"/>
        <w:rPr>
          <w:rStyle w:val="8"/>
          <w:rFonts w:ascii="仿宋_GB2312" w:hAnsi="??" w:eastAsia="仿宋_GB2312"/>
          <w:b w:val="0"/>
          <w:sz w:val="32"/>
          <w:szCs w:val="32"/>
        </w:rPr>
      </w:pPr>
      <w:r>
        <w:rPr>
          <w:rStyle w:val="8"/>
          <w:rFonts w:hint="eastAsia" w:ascii="仿宋_GB2312" w:hAnsi="??" w:eastAsia="仿宋_GB2312" w:cs="仿宋_GB2312"/>
          <w:b w:val="0"/>
          <w:bCs w:val="0"/>
          <w:sz w:val="32"/>
          <w:szCs w:val="32"/>
        </w:rPr>
        <w:t>福理工教〔202</w:t>
      </w:r>
      <w:r>
        <w:rPr>
          <w:rStyle w:val="8"/>
          <w:rFonts w:hint="eastAsia" w:ascii="仿宋_GB2312" w:hAnsi="??" w:eastAsia="仿宋_GB2312" w:cs="仿宋_GB2312"/>
          <w:b w:val="0"/>
          <w:bCs w:val="0"/>
          <w:sz w:val="32"/>
          <w:szCs w:val="32"/>
          <w:lang w:val="en-US" w:eastAsia="zh-CN"/>
        </w:rPr>
        <w:t>3</w:t>
      </w:r>
      <w:r>
        <w:rPr>
          <w:rStyle w:val="8"/>
          <w:rFonts w:hint="eastAsia" w:ascii="仿宋_GB2312" w:hAnsi="??" w:eastAsia="仿宋_GB2312" w:cs="仿宋_GB2312"/>
          <w:b w:val="0"/>
          <w:bCs w:val="0"/>
          <w:sz w:val="32"/>
          <w:szCs w:val="32"/>
        </w:rPr>
        <w:t>〕</w:t>
      </w:r>
      <w:r>
        <w:rPr>
          <w:rStyle w:val="8"/>
          <w:rFonts w:hint="eastAsia" w:ascii="仿宋_GB2312" w:hAnsi="??" w:eastAsia="仿宋_GB2312" w:cs="仿宋_GB2312"/>
          <w:b w:val="0"/>
          <w:bCs w:val="0"/>
          <w:sz w:val="32"/>
          <w:szCs w:val="32"/>
          <w:lang w:val="en-US" w:eastAsia="zh-CN"/>
        </w:rPr>
        <w:t>43</w:t>
      </w:r>
      <w:r>
        <w:rPr>
          <w:rStyle w:val="8"/>
          <w:rFonts w:hint="eastAsia" w:ascii="仿宋_GB2312" w:hAnsi="??" w:eastAsia="仿宋_GB2312"/>
          <w:b w:val="0"/>
          <w:color w:val="000000"/>
          <w:sz w:val="32"/>
          <w:szCs w:val="32"/>
        </w:rPr>
        <w:t>号</w:t>
      </w:r>
    </w:p>
    <w:p>
      <w:pPr>
        <w:spacing w:line="240" w:lineRule="exact"/>
        <w:ind w:left="59" w:hanging="59" w:hangingChars="37"/>
        <w:rPr>
          <w:rFonts w:ascii="仿宋_GB2312" w:hAnsi="宋体" w:eastAsia="仿宋_GB2312"/>
          <w:b/>
          <w:sz w:val="32"/>
          <w:szCs w:val="32"/>
        </w:rPr>
      </w:pPr>
      <w:r>
        <w:rPr>
          <w:rFonts w:hint="eastAsia" w:ascii="华文中宋" w:hAnsi="华文中宋" w:eastAsia="华文中宋"/>
          <w:color w:val="FF0000"/>
          <w:w w:val="50"/>
          <w:sz w:val="32"/>
          <w:szCs w:val="32"/>
          <w:u w:val="thick"/>
        </w:rPr>
        <w:t xml:space="preserve">                                                                                                         </w:t>
      </w:r>
      <w:r>
        <w:rPr>
          <w:rFonts w:hint="eastAsia" w:ascii="华文中宋" w:hAnsi="华文中宋" w:eastAsia="华文中宋"/>
          <w:color w:val="FF0000"/>
          <w:w w:val="50"/>
          <w:sz w:val="32"/>
          <w:szCs w:val="32"/>
          <w:u w:val="thick"/>
          <w:lang w:val="en-US" w:eastAsia="zh-CN"/>
        </w:rPr>
        <w:t xml:space="preserve">   </w:t>
      </w:r>
      <w:r>
        <w:rPr>
          <w:rFonts w:hint="eastAsia" w:ascii="华文中宋" w:hAnsi="华文中宋" w:eastAsia="华文中宋"/>
          <w:color w:val="FF0000"/>
          <w:w w:val="50"/>
          <w:sz w:val="32"/>
          <w:szCs w:val="32"/>
          <w:u w:val="thick"/>
        </w:rPr>
        <w:t xml:space="preserve">             </w:t>
      </w:r>
    </w:p>
    <w:p>
      <w:pPr>
        <w:tabs>
          <w:tab w:val="left" w:pos="7560"/>
        </w:tabs>
        <w:spacing w:line="400" w:lineRule="exact"/>
        <w:rPr>
          <w:rFonts w:ascii="宋体" w:hAnsi="宋体" w:eastAsia="宋体" w:cs="宋体"/>
          <w:sz w:val="32"/>
          <w:szCs w:val="32"/>
        </w:rPr>
      </w:pPr>
    </w:p>
    <w:p>
      <w:pPr>
        <w:widowControl/>
        <w:spacing w:line="700" w:lineRule="exact"/>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关于做好2023-2024学年第一学期</w:t>
      </w:r>
    </w:p>
    <w:p>
      <w:pPr>
        <w:widowControl/>
        <w:spacing w:line="700" w:lineRule="exact"/>
        <w:jc w:val="center"/>
        <w:rPr>
          <w:rFonts w:hint="eastAsia" w:ascii="方正小标宋简体" w:hAnsi="方正小标宋简体" w:eastAsia="方正小标宋简体" w:cs="方正小标宋简体"/>
          <w:color w:val="000000"/>
          <w:kern w:val="0"/>
          <w:sz w:val="44"/>
          <w:szCs w:val="44"/>
        </w:rPr>
      </w:pPr>
      <w:r>
        <w:rPr>
          <w:rFonts w:hint="eastAsia" w:ascii="方正小标宋简体" w:hAnsi="方正小标宋简体" w:eastAsia="方正小标宋简体" w:cs="方正小标宋简体"/>
          <w:color w:val="000000"/>
          <w:kern w:val="0"/>
          <w:sz w:val="44"/>
          <w:szCs w:val="44"/>
        </w:rPr>
        <w:t>开课计划审核工作的通知</w:t>
      </w:r>
    </w:p>
    <w:p>
      <w:pPr>
        <w:tabs>
          <w:tab w:val="left" w:pos="7560"/>
        </w:tabs>
        <w:spacing w:line="400" w:lineRule="exact"/>
        <w:rPr>
          <w:rFonts w:ascii="仿宋_GB2312" w:eastAsia="仿宋_GB2312"/>
          <w:sz w:val="32"/>
          <w:szCs w:val="32"/>
        </w:rPr>
      </w:pPr>
    </w:p>
    <w:p>
      <w:pPr>
        <w:keepNext w:val="0"/>
        <w:keepLines w:val="0"/>
        <w:pageBreakBefore w:val="0"/>
        <w:widowControl/>
        <w:kinsoku/>
        <w:overflowPunct/>
        <w:topLinePunct w:val="0"/>
        <w:autoSpaceDE/>
        <w:autoSpaceDN/>
        <w:bidi w:val="0"/>
        <w:adjustRightInd/>
        <w:snapToGrid/>
        <w:spacing w:line="240" w:lineRule="auto"/>
        <w:ind w:left="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各二级学院：</w:t>
      </w:r>
    </w:p>
    <w:p>
      <w:pPr>
        <w:keepNext w:val="0"/>
        <w:keepLines w:val="0"/>
        <w:pageBreakBefore w:val="0"/>
        <w:widowControl/>
        <w:kinsoku/>
        <w:overflowPunct/>
        <w:topLinePunct w:val="0"/>
        <w:autoSpaceDE/>
        <w:autoSpaceDN/>
        <w:bidi w:val="0"/>
        <w:adjustRightInd/>
        <w:snapToGrid/>
        <w:spacing w:line="240" w:lineRule="auto"/>
        <w:ind w:left="0" w:firstLine="640" w:firstLineChars="200"/>
        <w:jc w:val="left"/>
        <w:rPr>
          <w:rFonts w:ascii="仿宋_GB2312" w:hAnsi="Helvetica" w:eastAsia="仿宋_GB2312" w:cs="宋体"/>
          <w:color w:val="000000"/>
          <w:kern w:val="0"/>
          <w:sz w:val="32"/>
          <w:szCs w:val="32"/>
        </w:rPr>
      </w:pPr>
      <w:r>
        <w:rPr>
          <w:rFonts w:hint="eastAsia" w:ascii="仿宋_GB2312" w:hAnsi="宋体" w:eastAsia="仿宋_GB2312" w:cs="宋体"/>
          <w:color w:val="000000"/>
          <w:kern w:val="0"/>
          <w:sz w:val="32"/>
          <w:szCs w:val="32"/>
        </w:rPr>
        <w:t>为确保2023-2024学年第一学期教学工作顺利进行，保障教学正常有序，现将2023-2024学年第一学期开课计划审核工作有关事宜通知如下：</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baseline"/>
        <w:rPr>
          <w:rFonts w:ascii="黑体" w:hAnsi="黑体" w:eastAsia="黑体" w:cs="黑体"/>
          <w:color w:val="000000"/>
          <w:kern w:val="0"/>
          <w:sz w:val="32"/>
          <w:szCs w:val="32"/>
        </w:rPr>
      </w:pPr>
      <w:r>
        <w:rPr>
          <w:rFonts w:hint="eastAsia" w:ascii="黑体" w:hAnsi="黑体" w:eastAsia="黑体" w:cs="黑体"/>
          <w:color w:val="000000"/>
          <w:kern w:val="0"/>
          <w:sz w:val="32"/>
          <w:szCs w:val="32"/>
        </w:rPr>
        <w:t>一、基本要求</w:t>
      </w:r>
    </w:p>
    <w:p>
      <w:pPr>
        <w:keepNext w:val="0"/>
        <w:keepLines w:val="0"/>
        <w:pageBreakBefore w:val="0"/>
        <w:widowControl/>
        <w:kinsoku/>
        <w:overflowPunct/>
        <w:topLinePunct w:val="0"/>
        <w:autoSpaceDE/>
        <w:autoSpaceDN/>
        <w:bidi w:val="0"/>
        <w:adjustRightInd/>
        <w:snapToGrid/>
        <w:spacing w:line="240" w:lineRule="auto"/>
        <w:ind w:left="0" w:firstLine="555"/>
        <w:jc w:val="left"/>
        <w:textAlignment w:val="baseline"/>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楷体" w:eastAsia="仿宋_GB2312" w:cs="宋体"/>
          <w:color w:val="000000" w:themeColor="text1"/>
          <w:kern w:val="0"/>
          <w:sz w:val="32"/>
          <w:szCs w:val="32"/>
          <w14:textFill>
            <w14:solidFill>
              <w14:schemeClr w14:val="tx1"/>
            </w14:solidFill>
          </w14:textFill>
        </w:rPr>
        <w:t>本科专业人才培养方案是填报开课计划的基本依据，</w:t>
      </w:r>
      <w:r>
        <w:rPr>
          <w:rFonts w:hint="eastAsia" w:ascii="仿宋_GB2312" w:hAnsi="宋体" w:eastAsia="仿宋_GB2312" w:cs="宋体"/>
          <w:color w:val="000000" w:themeColor="text1"/>
          <w:kern w:val="0"/>
          <w:sz w:val="32"/>
          <w:szCs w:val="32"/>
          <w14:textFill>
            <w14:solidFill>
              <w14:schemeClr w14:val="tx1"/>
            </w14:solidFill>
          </w14:textFill>
        </w:rPr>
        <w:t>各二级学院应严格按照已批准的专业培养方案制定学期开课计划，</w:t>
      </w:r>
      <w:r>
        <w:rPr>
          <w:rFonts w:hint="eastAsia" w:ascii="仿宋_GB2312" w:hAnsi="楷体" w:eastAsia="仿宋_GB2312" w:cs="宋体"/>
          <w:color w:val="000000" w:themeColor="text1"/>
          <w:kern w:val="0"/>
          <w:sz w:val="32"/>
          <w:szCs w:val="32"/>
          <w14:textFill>
            <w14:solidFill>
              <w14:schemeClr w14:val="tx1"/>
            </w14:solidFill>
          </w14:textFill>
        </w:rPr>
        <w:t>加强开课计划的审定与课程内容的审核，</w:t>
      </w:r>
      <w:r>
        <w:rPr>
          <w:rFonts w:hint="eastAsia" w:ascii="仿宋_GB2312" w:hAnsi="宋体" w:eastAsia="仿宋_GB2312" w:cs="宋体"/>
          <w:color w:val="000000" w:themeColor="text1"/>
          <w:kern w:val="0"/>
          <w:sz w:val="32"/>
          <w:szCs w:val="32"/>
          <w14:textFill>
            <w14:solidFill>
              <w14:schemeClr w14:val="tx1"/>
            </w14:solidFill>
          </w14:textFill>
        </w:rPr>
        <w:t>切实保证人才培养方案课程设置的稳定性和严肃性，严禁因人设课。</w:t>
      </w:r>
    </w:p>
    <w:p>
      <w:pPr>
        <w:keepNext w:val="0"/>
        <w:keepLines w:val="0"/>
        <w:pageBreakBefore w:val="0"/>
        <w:widowControl/>
        <w:kinsoku/>
        <w:overflowPunct/>
        <w:topLinePunct w:val="0"/>
        <w:autoSpaceDE/>
        <w:autoSpaceDN/>
        <w:bidi w:val="0"/>
        <w:adjustRightInd/>
        <w:snapToGrid/>
        <w:spacing w:line="240" w:lineRule="auto"/>
        <w:ind w:left="0" w:firstLine="555"/>
        <w:jc w:val="left"/>
        <w:textAlignment w:val="baseline"/>
        <w:rPr>
          <w:rFonts w:ascii="仿宋_GB2312" w:hAnsi="inherit" w:eastAsia="仿宋_GB2312" w:cs="宋体"/>
          <w:color w:val="5E5E5E"/>
          <w:kern w:val="0"/>
          <w:sz w:val="32"/>
          <w:szCs w:val="32"/>
        </w:rPr>
      </w:pPr>
      <w:r>
        <w:rPr>
          <w:rFonts w:hint="eastAsia" w:ascii="仿宋_GB2312" w:hAnsi="宋体" w:eastAsia="仿宋_GB2312" w:cs="宋体"/>
          <w:color w:val="000000"/>
          <w:kern w:val="0"/>
          <w:sz w:val="32"/>
          <w:szCs w:val="32"/>
        </w:rPr>
        <w:t>凡对202</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-202</w:t>
      </w: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第</w:t>
      </w:r>
      <w:r>
        <w:rPr>
          <w:rFonts w:hint="eastAsia" w:cs="宋体" w:asciiTheme="minorEastAsia" w:hAnsiTheme="minorEastAsia"/>
          <w:color w:val="000000"/>
          <w:kern w:val="0"/>
          <w:sz w:val="32"/>
          <w:szCs w:val="32"/>
        </w:rPr>
        <w:t>一</w:t>
      </w:r>
      <w:r>
        <w:rPr>
          <w:rFonts w:hint="eastAsia" w:ascii="仿宋_GB2312" w:hAnsi="宋体" w:eastAsia="仿宋_GB2312" w:cs="宋体"/>
          <w:color w:val="000000"/>
          <w:kern w:val="0"/>
          <w:sz w:val="32"/>
          <w:szCs w:val="32"/>
        </w:rPr>
        <w:t>学期开课计划所列课程、学时、学分等需要变更的，均应经过专业带头人/负责人、专业所属系主任、教学副院长充分论证，变更理由要具体充分，涉及学分变更的原则上应保持专业总学分不变。论证后于上报开课计划前通过教务管理系统提交教学计划变更申请审批，经教务处审批同意后方可执行。</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baseline"/>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二、审定流程</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（一）各学院通过教务管理系统继承人才培养方案并导出打印《202</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-202</w:t>
      </w: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学年第一学期开课计划表》（具体操作流程见附件）。（完成时间：</w:t>
      </w: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月</w:t>
      </w:r>
      <w:r>
        <w:rPr>
          <w:rFonts w:ascii="仿宋_GB2312" w:hAnsi="宋体" w:eastAsia="仿宋_GB2312" w:cs="宋体"/>
          <w:color w:val="000000"/>
          <w:kern w:val="0"/>
          <w:sz w:val="32"/>
          <w:szCs w:val="32"/>
        </w:rPr>
        <w:t>23</w:t>
      </w:r>
      <w:r>
        <w:rPr>
          <w:rFonts w:hint="eastAsia" w:ascii="仿宋_GB2312" w:hAnsi="宋体" w:eastAsia="仿宋_GB2312" w:cs="宋体"/>
          <w:color w:val="000000"/>
          <w:kern w:val="0"/>
          <w:sz w:val="32"/>
          <w:szCs w:val="32"/>
        </w:rPr>
        <w:t>日）</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（二）各学院组织系主任、专业带头人/负责人进行学期开课计划审核，确由需要进行计划变更的，履行变更申请程序后调整开课计划。（完成时间：</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月</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1日）</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（三）审核后的开课计划经二级学院系主任、教学副院长签字确认后加盖二级学院公章上报至教务处审定。（完成时间：</w:t>
      </w:r>
      <w:r>
        <w:rPr>
          <w:rFonts w:ascii="仿宋_GB2312" w:hAnsi="宋体" w:eastAsia="仿宋_GB2312" w:cs="宋体"/>
          <w:color w:val="000000"/>
          <w:kern w:val="0"/>
          <w:sz w:val="32"/>
          <w:szCs w:val="32"/>
        </w:rPr>
        <w:t>5</w:t>
      </w:r>
      <w:r>
        <w:rPr>
          <w:rFonts w:hint="eastAsia" w:ascii="仿宋_GB2312" w:hAnsi="宋体" w:eastAsia="仿宋_GB2312" w:cs="宋体"/>
          <w:color w:val="000000"/>
          <w:kern w:val="0"/>
          <w:sz w:val="32"/>
          <w:szCs w:val="32"/>
        </w:rPr>
        <w:t>月</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6日）</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（四）教务处根据审定后的学期开课及计划落实学期开课任务。（完成时间：</w:t>
      </w:r>
      <w:r>
        <w:rPr>
          <w:rFonts w:ascii="仿宋_GB2312" w:hAnsi="宋体" w:eastAsia="仿宋_GB2312" w:cs="宋体"/>
          <w:color w:val="000000"/>
          <w:kern w:val="0"/>
          <w:sz w:val="32"/>
          <w:szCs w:val="32"/>
        </w:rPr>
        <w:t>6</w:t>
      </w:r>
      <w:r>
        <w:rPr>
          <w:rFonts w:hint="eastAsia" w:ascii="仿宋_GB2312" w:hAnsi="宋体" w:eastAsia="仿宋_GB2312" w:cs="宋体"/>
          <w:color w:val="000000"/>
          <w:kern w:val="0"/>
          <w:sz w:val="32"/>
          <w:szCs w:val="32"/>
        </w:rPr>
        <w:t>月3日）</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（五）各学院（部）根据学期开课任务做好授课教师聘任及教材征订工作。（完成时间：本学期结束）</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left"/>
        <w:textAlignment w:val="baseline"/>
        <w:rPr>
          <w:rFonts w:hint="eastAsia" w:ascii="黑体" w:hAnsi="黑体" w:eastAsia="黑体" w:cs="黑体"/>
          <w:color w:val="000000"/>
          <w:kern w:val="0"/>
          <w:sz w:val="32"/>
          <w:szCs w:val="32"/>
        </w:rPr>
      </w:pPr>
      <w:r>
        <w:rPr>
          <w:rFonts w:hint="eastAsia" w:ascii="黑体" w:hAnsi="黑体" w:eastAsia="黑体" w:cs="黑体"/>
          <w:color w:val="000000"/>
          <w:kern w:val="0"/>
          <w:sz w:val="32"/>
          <w:szCs w:val="32"/>
        </w:rPr>
        <w:t>三、其他</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楷体" w:hAnsi="楷体" w:eastAsia="楷体" w:cs="楷体"/>
          <w:color w:val="000000"/>
          <w:kern w:val="0"/>
          <w:sz w:val="32"/>
          <w:szCs w:val="32"/>
        </w:rPr>
      </w:pPr>
      <w:r>
        <w:rPr>
          <w:rFonts w:hint="eastAsia" w:ascii="楷体" w:hAnsi="楷体" w:eastAsia="楷体" w:cs="楷体"/>
          <w:color w:val="000000"/>
          <w:kern w:val="0"/>
          <w:sz w:val="32"/>
          <w:szCs w:val="32"/>
        </w:rPr>
        <w:t>（一）教学班编班原则</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1.全校性公共基础课程（大学英语、大学体育除外）原则上采取大班教学，各教学班编班时尽可能合理，以不超过115人为限。</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2.各专业核心课程按照行政班教学，非核心课程（含学科基础、专业选修）可根据情况采取大班教学。</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3.实践类课程按照各专业教学类质量国家标准要求执行。</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楷体" w:hAnsi="楷体" w:eastAsia="楷体" w:cs="楷体"/>
          <w:color w:val="000000"/>
          <w:kern w:val="0"/>
          <w:sz w:val="32"/>
          <w:szCs w:val="32"/>
        </w:rPr>
      </w:pPr>
      <w:r>
        <w:rPr>
          <w:rFonts w:hint="eastAsia" w:ascii="楷体" w:hAnsi="楷体" w:eastAsia="楷体" w:cs="楷体"/>
          <w:color w:val="000000"/>
          <w:kern w:val="0"/>
          <w:sz w:val="32"/>
          <w:szCs w:val="32"/>
        </w:rPr>
        <w:t>（二）授课教师安排</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1.专业核心课程授课教师应优先选择教学经验丰富、讲授本课程两轮以上、评价结果优良的教师。专业带头人必须承担专业核心课程教学。</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2.为保证课程教学改革成效，各一流课程、教学改革课程负责人所授课程应保持相对稳定。</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3.教授、副教授必须为本科生上课。</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4.严格做好外聘教师考核工作，考核不合格的外聘教师原则上不予续聘。加强外聘教师聘任工作，新聘任外聘教师应严格按照《</w:t>
      </w:r>
      <w:r>
        <w:rPr>
          <w:rFonts w:hint="eastAsia" w:ascii="仿宋_GB2312" w:hAnsi="宋体" w:eastAsia="仿宋_GB2312" w:cs="宋体"/>
          <w:color w:val="000000"/>
          <w:kern w:val="0"/>
          <w:sz w:val="32"/>
          <w:szCs w:val="32"/>
          <w:lang w:bidi="ar"/>
        </w:rPr>
        <w:t>福州理工学院外聘教师聘任及管理规定（修订） 》（福理工人〔2020〕27 号）要求进行聘任，企业兼职教师聘任前须进行试讲考核，并在后续教学过程中做好教学帮扶工作。</w:t>
      </w:r>
    </w:p>
    <w:p>
      <w:pPr>
        <w:keepNext w:val="0"/>
        <w:keepLines w:val="0"/>
        <w:pageBreakBefore w:val="0"/>
        <w:widowControl/>
        <w:kinsoku/>
        <w:overflowPunct/>
        <w:topLinePunct w:val="0"/>
        <w:autoSpaceDE/>
        <w:autoSpaceDN/>
        <w:bidi w:val="0"/>
        <w:adjustRightInd/>
        <w:snapToGrid/>
        <w:spacing w:line="240" w:lineRule="auto"/>
        <w:ind w:left="0" w:firstLine="48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教务处联系人：林勇   联系邮箱：ly</w:t>
      </w:r>
      <w:r>
        <w:rPr>
          <w:rFonts w:ascii="仿宋_GB2312" w:hAnsi="宋体" w:eastAsia="仿宋_GB2312" w:cs="宋体"/>
          <w:color w:val="000000"/>
          <w:kern w:val="0"/>
          <w:sz w:val="32"/>
          <w:szCs w:val="32"/>
        </w:rPr>
        <w:t>1</w:t>
      </w:r>
      <w:r>
        <w:rPr>
          <w:rFonts w:hint="eastAsia" w:ascii="仿宋_GB2312" w:hAnsi="宋体" w:eastAsia="仿宋_GB2312" w:cs="宋体"/>
          <w:color w:val="000000"/>
          <w:kern w:val="0"/>
          <w:sz w:val="32"/>
          <w:szCs w:val="32"/>
        </w:rPr>
        <w:t>2</w:t>
      </w:r>
      <w:r>
        <w:rPr>
          <w:rFonts w:ascii="仿宋_GB2312" w:hAnsi="宋体" w:eastAsia="仿宋_GB2312" w:cs="宋体"/>
          <w:color w:val="000000"/>
          <w:kern w:val="0"/>
          <w:sz w:val="32"/>
          <w:szCs w:val="32"/>
        </w:rPr>
        <w:t>451@</w:t>
      </w:r>
      <w:r>
        <w:rPr>
          <w:rFonts w:hint="eastAsia" w:ascii="仿宋_GB2312" w:hAnsi="宋体" w:eastAsia="仿宋_GB2312" w:cs="宋体"/>
          <w:color w:val="000000"/>
          <w:kern w:val="0"/>
          <w:sz w:val="32"/>
          <w:szCs w:val="32"/>
        </w:rPr>
        <w:t>gmiot.com</w:t>
      </w:r>
    </w:p>
    <w:p>
      <w:pPr>
        <w:keepNext w:val="0"/>
        <w:keepLines w:val="0"/>
        <w:pageBreakBefore w:val="0"/>
        <w:widowControl/>
        <w:kinsoku/>
        <w:overflowPunct/>
        <w:topLinePunct w:val="0"/>
        <w:autoSpaceDE/>
        <w:autoSpaceDN/>
        <w:bidi w:val="0"/>
        <w:adjustRightInd/>
        <w:snapToGrid/>
        <w:spacing w:line="240" w:lineRule="auto"/>
        <w:ind w:left="0"/>
        <w:jc w:val="left"/>
        <w:rPr>
          <w:rFonts w:ascii="仿宋_GB2312" w:hAnsi="宋体" w:eastAsia="仿宋_GB2312" w:cs="宋体"/>
          <w:color w:val="000000"/>
          <w:kern w:val="0"/>
          <w:sz w:val="32"/>
          <w:szCs w:val="32"/>
        </w:rPr>
      </w:pPr>
    </w:p>
    <w:p>
      <w:pPr>
        <w:keepNext w:val="0"/>
        <w:keepLines w:val="0"/>
        <w:pageBreakBefore w:val="0"/>
        <w:widowControl/>
        <w:kinsoku/>
        <w:overflowPunct/>
        <w:topLinePunct w:val="0"/>
        <w:autoSpaceDE/>
        <w:autoSpaceDN/>
        <w:bidi w:val="0"/>
        <w:adjustRightInd/>
        <w:snapToGrid/>
        <w:spacing w:line="240" w:lineRule="auto"/>
        <w:ind w:left="0"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附件：1.教务系统开课计划导出流程</w:t>
      </w:r>
    </w:p>
    <w:p>
      <w:pPr>
        <w:keepNext w:val="0"/>
        <w:keepLines w:val="0"/>
        <w:pageBreakBefore w:val="0"/>
        <w:widowControl/>
        <w:numPr>
          <w:ilvl w:val="0"/>
          <w:numId w:val="0"/>
        </w:numPr>
        <w:kinsoku/>
        <w:overflowPunct/>
        <w:topLinePunct w:val="0"/>
        <w:autoSpaceDE/>
        <w:autoSpaceDN/>
        <w:bidi w:val="0"/>
        <w:adjustRightInd/>
        <w:snapToGrid/>
        <w:spacing w:line="240" w:lineRule="auto"/>
        <w:ind w:left="0" w:leftChars="0" w:firstLine="1600" w:firstLineChars="500"/>
        <w:jc w:val="left"/>
        <w:rPr>
          <w:rFonts w:ascii="仿宋_GB2312" w:eastAsia="仿宋_GB2312"/>
          <w:sz w:val="32"/>
          <w:szCs w:val="32"/>
        </w:rPr>
      </w:pPr>
      <w:bookmarkStart w:id="3" w:name="_GoBack"/>
      <w:bookmarkEnd w:id="3"/>
      <w:r>
        <w:rPr>
          <w:rFonts w:hint="eastAsia" w:ascii="仿宋_GB2312" w:hAnsi="宋体" w:eastAsia="仿宋_GB2312" w:cs="宋体"/>
          <w:color w:val="000000"/>
          <w:kern w:val="0"/>
          <w:sz w:val="32"/>
          <w:szCs w:val="32"/>
          <w:lang w:val="en-US" w:eastAsia="zh-CN"/>
        </w:rPr>
        <w:t>2.</w:t>
      </w:r>
      <w:r>
        <w:rPr>
          <w:rFonts w:hint="eastAsia" w:ascii="仿宋_GB2312" w:hAnsi="宋体" w:eastAsia="仿宋_GB2312" w:cs="宋体"/>
          <w:color w:val="000000"/>
          <w:kern w:val="0"/>
          <w:sz w:val="32"/>
          <w:szCs w:val="32"/>
        </w:rPr>
        <w:t>福州理工学院开课计划表</w:t>
      </w:r>
    </w:p>
    <w:p>
      <w:pPr>
        <w:keepNext w:val="0"/>
        <w:keepLines w:val="0"/>
        <w:pageBreakBefore w:val="0"/>
        <w:widowControl/>
        <w:kinsoku/>
        <w:overflowPunct/>
        <w:topLinePunct w:val="0"/>
        <w:autoSpaceDE/>
        <w:autoSpaceDN/>
        <w:bidi w:val="0"/>
        <w:adjustRightInd/>
        <w:snapToGrid/>
        <w:spacing w:line="240" w:lineRule="auto"/>
        <w:ind w:left="0"/>
        <w:jc w:val="left"/>
        <w:rPr>
          <w:rFonts w:ascii="仿宋_GB2312" w:eastAsia="仿宋_GB2312"/>
          <w:sz w:val="32"/>
          <w:szCs w:val="32"/>
        </w:rPr>
      </w:pPr>
    </w:p>
    <w:p>
      <w:pPr>
        <w:keepNext w:val="0"/>
        <w:keepLines w:val="0"/>
        <w:pageBreakBefore w:val="0"/>
        <w:widowControl/>
        <w:kinsoku/>
        <w:wordWrap/>
        <w:overflowPunct/>
        <w:topLinePunct w:val="0"/>
        <w:autoSpaceDE/>
        <w:autoSpaceDN/>
        <w:bidi w:val="0"/>
        <w:adjustRightInd/>
        <w:snapToGrid/>
        <w:spacing w:line="240" w:lineRule="auto"/>
        <w:ind w:left="0" w:right="840" w:rightChars="400"/>
        <w:jc w:val="right"/>
        <w:textAlignment w:val="auto"/>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福州理工学院教务处</w:t>
      </w:r>
    </w:p>
    <w:p>
      <w:pPr>
        <w:keepNext w:val="0"/>
        <w:keepLines w:val="0"/>
        <w:pageBreakBefore w:val="0"/>
        <w:widowControl/>
        <w:kinsoku/>
        <w:wordWrap w:val="0"/>
        <w:overflowPunct/>
        <w:topLinePunct w:val="0"/>
        <w:autoSpaceDE/>
        <w:autoSpaceDN/>
        <w:bidi w:val="0"/>
        <w:adjustRightInd/>
        <w:snapToGrid/>
        <w:spacing w:line="240" w:lineRule="auto"/>
        <w:ind w:left="0" w:right="840" w:rightChars="400"/>
        <w:jc w:val="right"/>
        <w:textAlignment w:val="auto"/>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rPr>
        <w:t>2023年4月</w:t>
      </w:r>
      <w:r>
        <w:rPr>
          <w:rFonts w:hint="eastAsia" w:ascii="仿宋_GB2312" w:hAnsi="宋体" w:eastAsia="仿宋_GB2312" w:cs="宋体"/>
          <w:color w:val="000000"/>
          <w:kern w:val="0"/>
          <w:sz w:val="32"/>
          <w:szCs w:val="32"/>
          <w:lang w:val="en-US" w:eastAsia="zh-CN"/>
        </w:rPr>
        <w:t>14</w:t>
      </w:r>
      <w:r>
        <w:rPr>
          <w:rFonts w:hint="eastAsia" w:ascii="仿宋_GB2312" w:hAnsi="宋体" w:eastAsia="仿宋_GB2312" w:cs="宋体"/>
          <w:color w:val="000000"/>
          <w:kern w:val="0"/>
          <w:sz w:val="32"/>
          <w:szCs w:val="32"/>
        </w:rPr>
        <w:t>日</w:t>
      </w:r>
      <w:r>
        <w:rPr>
          <w:rFonts w:hint="eastAsia" w:ascii="仿宋_GB2312" w:hAnsi="宋体" w:eastAsia="仿宋_GB2312" w:cs="宋体"/>
          <w:color w:val="000000"/>
          <w:kern w:val="0"/>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000000"/>
          <w:kern w:val="0"/>
          <w:sz w:val="32"/>
          <w:szCs w:val="32"/>
          <w:lang w:val="en-US" w:eastAsia="zh-CN"/>
        </w:rPr>
      </w:pPr>
      <w:r>
        <w:rPr>
          <w:rFonts w:hint="eastAsia" w:ascii="黑体" w:hAnsi="黑体" w:eastAsia="黑体" w:cs="黑体"/>
          <w:color w:val="000000"/>
          <w:kern w:val="0"/>
          <w:sz w:val="32"/>
          <w:szCs w:val="32"/>
          <w:lang w:eastAsia="zh-CN"/>
        </w:rPr>
        <w:t>附件</w:t>
      </w:r>
      <w:r>
        <w:rPr>
          <w:rFonts w:hint="eastAsia" w:ascii="黑体" w:hAnsi="黑体" w:eastAsia="黑体" w:cs="黑体"/>
          <w:color w:val="000000"/>
          <w:kern w:val="0"/>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黑体" w:hAnsi="黑体" w:eastAsia="黑体" w:cs="黑体"/>
          <w:b w:val="0"/>
          <w:bCs w:val="0"/>
          <w:color w:val="000000"/>
          <w:kern w:val="0"/>
          <w:sz w:val="44"/>
          <w:szCs w:val="44"/>
        </w:rPr>
      </w:pPr>
      <w:r>
        <w:rPr>
          <w:rFonts w:hint="eastAsia" w:ascii="黑体" w:hAnsi="黑体" w:eastAsia="黑体" w:cs="黑体"/>
          <w:b w:val="0"/>
          <w:bCs w:val="0"/>
          <w:color w:val="000000"/>
          <w:kern w:val="0"/>
          <w:sz w:val="44"/>
          <w:szCs w:val="44"/>
        </w:rPr>
        <w:t>教务系统开课计划导出流程</w:t>
      </w:r>
    </w:p>
    <w:p>
      <w:pPr>
        <w:pStyle w:val="12"/>
        <w:numPr>
          <w:ilvl w:val="0"/>
          <w:numId w:val="0"/>
        </w:numPr>
        <w:ind w:left="568" w:leftChars="0"/>
        <w:rPr>
          <w:rFonts w:ascii="仿宋_GB2312" w:eastAsia="仿宋_GB2312"/>
          <w:sz w:val="28"/>
          <w:szCs w:val="28"/>
        </w:rPr>
      </w:pPr>
      <w:r>
        <w:rPr>
          <w:rFonts w:hint="eastAsia" w:ascii="仿宋_GB2312" w:eastAsia="仿宋_GB2312"/>
          <w:sz w:val="28"/>
          <w:szCs w:val="28"/>
          <w:lang w:eastAsia="zh-CN"/>
        </w:rPr>
        <w:t>一、</w:t>
      </w:r>
      <w:r>
        <w:rPr>
          <w:rFonts w:hint="eastAsia" w:ascii="仿宋_GB2312" w:eastAsia="仿宋_GB2312"/>
          <w:sz w:val="28"/>
          <w:szCs w:val="28"/>
        </w:rPr>
        <w:t>登入教务系统平台</w:t>
      </w:r>
    </w:p>
    <w:p>
      <w:pPr>
        <w:jc w:val="center"/>
        <w:rPr>
          <w:rFonts w:ascii="仿宋_GB2312" w:eastAsia="仿宋_GB2312"/>
          <w:sz w:val="28"/>
          <w:szCs w:val="28"/>
        </w:rPr>
      </w:pPr>
      <w:r>
        <w:drawing>
          <wp:inline distT="0" distB="0" distL="0" distR="0">
            <wp:extent cx="5518785" cy="2307590"/>
            <wp:effectExtent l="0" t="0" r="5715" b="165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518785" cy="2307590"/>
                    </a:xfrm>
                    <a:prstGeom prst="rect">
                      <a:avLst/>
                    </a:prstGeom>
                    <a:noFill/>
                    <a:ln>
                      <a:noFill/>
                    </a:ln>
                  </pic:spPr>
                </pic:pic>
              </a:graphicData>
            </a:graphic>
          </wp:inline>
        </w:drawing>
      </w:r>
    </w:p>
    <w:p>
      <w:pPr>
        <w:pStyle w:val="12"/>
        <w:numPr>
          <w:ilvl w:val="0"/>
          <w:numId w:val="0"/>
        </w:numPr>
        <w:ind w:left="568" w:leftChars="0"/>
        <w:rPr>
          <w:rFonts w:ascii="仿宋_GB2312" w:eastAsia="仿宋_GB2312"/>
          <w:sz w:val="28"/>
          <w:szCs w:val="28"/>
        </w:rPr>
      </w:pPr>
      <w:r>
        <w:rPr>
          <w:rFonts w:hint="eastAsia" w:ascii="仿宋_GB2312" w:eastAsia="仿宋_GB2312"/>
          <w:sz w:val="28"/>
          <w:szCs w:val="28"/>
          <w:lang w:eastAsia="zh-CN"/>
        </w:rPr>
        <w:t>二、</w:t>
      </w:r>
      <w:r>
        <w:rPr>
          <w:rFonts w:hint="eastAsia" w:ascii="仿宋_GB2312" w:eastAsia="仿宋_GB2312"/>
          <w:sz w:val="28"/>
          <w:szCs w:val="28"/>
        </w:rPr>
        <w:t>进入教学计划管理模块</w:t>
      </w:r>
      <w:r>
        <w:rPr>
          <w:rFonts w:hint="eastAsia" w:ascii="仿宋_GB2312" w:eastAsia="仿宋_GB2312"/>
          <w:sz w:val="28"/>
          <w:szCs w:val="28"/>
          <w:lang w:eastAsia="zh-CN"/>
        </w:rPr>
        <w:t>－</w:t>
      </w:r>
      <w:r>
        <w:rPr>
          <w:rFonts w:hint="eastAsia" w:ascii="仿宋_GB2312" w:eastAsia="仿宋_GB2312"/>
          <w:sz w:val="28"/>
          <w:szCs w:val="28"/>
        </w:rPr>
        <w:t>教学执行计划</w:t>
      </w:r>
      <w:r>
        <w:rPr>
          <w:rFonts w:hint="eastAsia" w:ascii="仿宋_GB2312" w:eastAsia="仿宋_GB2312"/>
          <w:sz w:val="28"/>
          <w:szCs w:val="28"/>
          <w:lang w:eastAsia="zh-CN"/>
        </w:rPr>
        <w:t>－</w:t>
      </w:r>
      <w:r>
        <w:rPr>
          <w:rFonts w:hint="eastAsia" w:ascii="仿宋_GB2312" w:eastAsia="仿宋_GB2312"/>
          <w:sz w:val="28"/>
          <w:szCs w:val="28"/>
        </w:rPr>
        <w:t>执行计划选项</w:t>
      </w:r>
    </w:p>
    <w:p>
      <w:pPr>
        <w:jc w:val="center"/>
        <w:rPr>
          <w:rFonts w:ascii="仿宋_GB2312" w:eastAsia="仿宋_GB2312"/>
          <w:sz w:val="28"/>
          <w:szCs w:val="28"/>
        </w:rPr>
      </w:pPr>
      <w:r>
        <w:drawing>
          <wp:inline distT="0" distB="0" distL="0" distR="0">
            <wp:extent cx="5527040" cy="2691130"/>
            <wp:effectExtent l="0" t="0" r="16510" b="139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527040" cy="2691130"/>
                    </a:xfrm>
                    <a:prstGeom prst="rect">
                      <a:avLst/>
                    </a:prstGeom>
                    <a:noFill/>
                    <a:ln>
                      <a:noFill/>
                    </a:ln>
                  </pic:spPr>
                </pic:pic>
              </a:graphicData>
            </a:graphic>
          </wp:inline>
        </w:drawing>
      </w:r>
    </w:p>
    <w:p>
      <w:pPr>
        <w:pStyle w:val="12"/>
        <w:numPr>
          <w:ilvl w:val="0"/>
          <w:numId w:val="0"/>
        </w:numPr>
        <w:ind w:left="568" w:leftChars="0"/>
        <w:rPr>
          <w:rFonts w:ascii="仿宋_GB2312" w:eastAsia="仿宋_GB2312"/>
          <w:sz w:val="28"/>
          <w:szCs w:val="28"/>
        </w:rPr>
      </w:pPr>
      <w:r>
        <w:rPr>
          <w:rFonts w:hint="eastAsia" w:ascii="仿宋_GB2312" w:eastAsia="仿宋_GB2312"/>
          <w:sz w:val="28"/>
          <w:szCs w:val="28"/>
          <w:lang w:eastAsia="zh-CN"/>
        </w:rPr>
        <w:t>三、</w:t>
      </w:r>
      <w:r>
        <w:rPr>
          <w:rFonts w:hint="eastAsia" w:ascii="仿宋_GB2312" w:eastAsia="仿宋_GB2312"/>
          <w:sz w:val="28"/>
          <w:szCs w:val="28"/>
        </w:rPr>
        <w:t>选择相应专业，学期继承执行计划</w:t>
      </w:r>
    </w:p>
    <w:p>
      <w:pPr>
        <w:jc w:val="center"/>
        <w:rPr>
          <w:rFonts w:hint="eastAsia" w:ascii="仿宋_GB2312" w:eastAsia="仿宋_GB2312"/>
          <w:sz w:val="28"/>
          <w:szCs w:val="28"/>
        </w:rPr>
      </w:pPr>
      <w:r>
        <w:drawing>
          <wp:inline distT="0" distB="0" distL="0" distR="0">
            <wp:extent cx="5427345" cy="2670810"/>
            <wp:effectExtent l="0" t="0" r="1905" b="1524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27345" cy="2670810"/>
                    </a:xfrm>
                    <a:prstGeom prst="rect">
                      <a:avLst/>
                    </a:prstGeom>
                    <a:noFill/>
                    <a:ln>
                      <a:noFill/>
                    </a:ln>
                  </pic:spPr>
                </pic:pic>
              </a:graphicData>
            </a:graphic>
          </wp:inline>
        </w:drawing>
      </w:r>
    </w:p>
    <w:p>
      <w:pPr>
        <w:pStyle w:val="12"/>
        <w:numPr>
          <w:ilvl w:val="0"/>
          <w:numId w:val="0"/>
        </w:numPr>
        <w:ind w:firstLine="560" w:firstLineChars="200"/>
        <w:rPr>
          <w:rFonts w:ascii="仿宋_GB2312" w:eastAsia="仿宋_GB2312"/>
          <w:sz w:val="28"/>
          <w:szCs w:val="28"/>
        </w:rPr>
      </w:pPr>
      <w:bookmarkStart w:id="0" w:name="_Hlk118757751"/>
      <w:r>
        <w:rPr>
          <w:rFonts w:hint="eastAsia" w:ascii="仿宋_GB2312" w:eastAsia="仿宋_GB2312"/>
          <w:sz w:val="28"/>
          <w:szCs w:val="28"/>
          <w:lang w:eastAsia="zh-CN"/>
        </w:rPr>
        <w:t>四、</w:t>
      </w:r>
      <w:r>
        <w:rPr>
          <w:rFonts w:hint="eastAsia" w:ascii="仿宋_GB2312" w:eastAsia="仿宋_GB2312"/>
          <w:sz w:val="28"/>
          <w:szCs w:val="28"/>
        </w:rPr>
        <w:t>进入教学计划管理模块</w:t>
      </w:r>
      <w:r>
        <w:rPr>
          <w:rFonts w:hint="eastAsia" w:ascii="仿宋_GB2312" w:eastAsia="仿宋_GB2312"/>
          <w:sz w:val="28"/>
          <w:szCs w:val="28"/>
          <w:lang w:eastAsia="zh-CN"/>
        </w:rPr>
        <w:t>－</w:t>
      </w:r>
      <w:r>
        <w:rPr>
          <w:rFonts w:hint="eastAsia" w:ascii="仿宋_GB2312" w:eastAsia="仿宋_GB2312"/>
          <w:sz w:val="28"/>
          <w:szCs w:val="28"/>
        </w:rPr>
        <w:t>教学执行计划</w:t>
      </w:r>
      <w:r>
        <w:rPr>
          <w:rFonts w:hint="eastAsia" w:ascii="仿宋_GB2312" w:eastAsia="仿宋_GB2312"/>
          <w:sz w:val="28"/>
          <w:szCs w:val="28"/>
          <w:lang w:eastAsia="zh-CN"/>
        </w:rPr>
        <w:t>－</w:t>
      </w:r>
      <w:r>
        <w:rPr>
          <w:rFonts w:hint="eastAsia" w:ascii="仿宋_GB2312" w:eastAsia="仿宋_GB2312"/>
          <w:sz w:val="28"/>
          <w:szCs w:val="28"/>
        </w:rPr>
        <w:t>开课情况查询选项</w:t>
      </w:r>
    </w:p>
    <w:bookmarkEnd w:id="0"/>
    <w:p>
      <w:pPr>
        <w:jc w:val="center"/>
        <w:rPr>
          <w:rFonts w:ascii="仿宋_GB2312" w:eastAsia="仿宋_GB2312"/>
          <w:sz w:val="28"/>
          <w:szCs w:val="28"/>
        </w:rPr>
      </w:pPr>
      <w:r>
        <w:drawing>
          <wp:inline distT="0" distB="0" distL="0" distR="0">
            <wp:extent cx="5416550" cy="2590165"/>
            <wp:effectExtent l="0" t="0" r="1270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416550" cy="2590165"/>
                    </a:xfrm>
                    <a:prstGeom prst="rect">
                      <a:avLst/>
                    </a:prstGeom>
                    <a:noFill/>
                    <a:ln>
                      <a:noFill/>
                    </a:ln>
                  </pic:spPr>
                </pic:pic>
              </a:graphicData>
            </a:graphic>
          </wp:inline>
        </w:drawing>
      </w:r>
    </w:p>
    <w:p>
      <w:pPr>
        <w:pStyle w:val="12"/>
        <w:numPr>
          <w:ilvl w:val="0"/>
          <w:numId w:val="0"/>
        </w:numPr>
        <w:ind w:firstLine="560" w:firstLineChars="200"/>
        <w:rPr>
          <w:b/>
          <w:bCs/>
          <w:sz w:val="28"/>
          <w:szCs w:val="28"/>
        </w:rPr>
      </w:pPr>
      <w:bookmarkStart w:id="1" w:name="_Hlk118662849"/>
      <w:r>
        <w:rPr>
          <w:rFonts w:hint="eastAsia" w:ascii="仿宋_GB2312" w:eastAsia="仿宋_GB2312"/>
          <w:sz w:val="28"/>
          <w:szCs w:val="28"/>
          <w:lang w:eastAsia="zh-CN"/>
        </w:rPr>
        <w:t>五、</w:t>
      </w:r>
      <w:r>
        <w:rPr>
          <w:rFonts w:hint="eastAsia" w:ascii="仿宋_GB2312" w:eastAsia="仿宋_GB2312"/>
          <w:sz w:val="28"/>
          <w:szCs w:val="28"/>
        </w:rPr>
        <w:t>选择学年学期院系查询并导出表格，按照样表要求格式编辑后打印</w:t>
      </w:r>
      <w:bookmarkEnd w:id="1"/>
    </w:p>
    <w:p>
      <w:pPr>
        <w:pStyle w:val="12"/>
        <w:numPr>
          <w:ilvl w:val="0"/>
          <w:numId w:val="0"/>
        </w:numPr>
        <w:jc w:val="center"/>
        <w:rPr>
          <w:b/>
          <w:bCs/>
          <w:sz w:val="28"/>
          <w:szCs w:val="28"/>
        </w:rPr>
      </w:pPr>
      <w:r>
        <w:drawing>
          <wp:inline distT="0" distB="0" distL="0" distR="0">
            <wp:extent cx="5561330" cy="2579370"/>
            <wp:effectExtent l="0" t="0" r="127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561330" cy="2579370"/>
                    </a:xfrm>
                    <a:prstGeom prst="rect">
                      <a:avLst/>
                    </a:prstGeom>
                    <a:noFill/>
                    <a:ln>
                      <a:noFill/>
                    </a:ln>
                  </pic:spPr>
                </pic:pic>
              </a:graphicData>
            </a:graphic>
          </wp:inline>
        </w:drawing>
      </w:r>
    </w:p>
    <w:p>
      <w:pPr>
        <w:ind w:firstLine="560" w:firstLineChars="200"/>
        <w:rPr>
          <w:rFonts w:ascii="仿宋_GB2312" w:eastAsia="仿宋_GB2312"/>
          <w:sz w:val="28"/>
          <w:szCs w:val="28"/>
        </w:rPr>
      </w:pPr>
      <w:bookmarkStart w:id="2" w:name="_Hlk118757532"/>
      <w:r>
        <w:rPr>
          <w:rFonts w:hint="eastAsia" w:ascii="仿宋_GB2312" w:eastAsia="仿宋_GB2312"/>
          <w:sz w:val="28"/>
          <w:szCs w:val="28"/>
          <w:lang w:eastAsia="zh-CN"/>
        </w:rPr>
        <w:t>六、</w:t>
      </w:r>
      <w:r>
        <w:rPr>
          <w:rFonts w:hint="eastAsia" w:ascii="仿宋_GB2312" w:eastAsia="仿宋_GB2312"/>
          <w:sz w:val="28"/>
          <w:szCs w:val="28"/>
        </w:rPr>
        <w:t>导出表格，选择所需要的信息列即可</w:t>
      </w:r>
    </w:p>
    <w:bookmarkEnd w:id="2"/>
    <w:p>
      <w:pPr>
        <w:jc w:val="center"/>
        <w:rPr>
          <w:b/>
          <w:bCs/>
          <w:sz w:val="28"/>
          <w:szCs w:val="28"/>
        </w:rPr>
      </w:pPr>
      <w:r>
        <w:drawing>
          <wp:inline distT="0" distB="0" distL="0" distR="0">
            <wp:extent cx="5459095" cy="2508250"/>
            <wp:effectExtent l="0" t="0" r="8255"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459095" cy="2508250"/>
                    </a:xfrm>
                    <a:prstGeom prst="rect">
                      <a:avLst/>
                    </a:prstGeom>
                    <a:noFill/>
                    <a:ln>
                      <a:noFill/>
                    </a:ln>
                  </pic:spPr>
                </pic:pic>
              </a:graphicData>
            </a:graphic>
          </wp:inline>
        </w:drawing>
      </w:r>
    </w:p>
    <w:p>
      <w:pPr>
        <w:ind w:firstLine="560" w:firstLineChars="200"/>
        <w:rPr>
          <w:rFonts w:ascii="仿宋_GB2312" w:eastAsia="仿宋_GB2312"/>
          <w:sz w:val="28"/>
          <w:szCs w:val="28"/>
        </w:rPr>
      </w:pPr>
      <w:r>
        <w:rPr>
          <w:rFonts w:hint="eastAsia" w:ascii="仿宋_GB2312" w:eastAsia="仿宋_GB2312"/>
          <w:sz w:val="28"/>
          <w:szCs w:val="28"/>
          <w:lang w:eastAsia="zh-CN"/>
        </w:rPr>
        <w:t>七、</w:t>
      </w:r>
      <w:r>
        <w:rPr>
          <w:rFonts w:hint="eastAsia" w:ascii="仿宋_GB2312" w:eastAsia="仿宋_GB2312"/>
          <w:sz w:val="28"/>
          <w:szCs w:val="28"/>
        </w:rPr>
        <w:t>生成和编辑开课计划表</w:t>
      </w:r>
    </w:p>
    <w:p>
      <w:pPr>
        <w:widowControl/>
        <w:spacing w:line="400" w:lineRule="atLeast"/>
        <w:jc w:val="center"/>
        <w:rPr>
          <w:rFonts w:hint="default" w:ascii="仿宋_GB2312" w:hAnsi="宋体" w:eastAsia="仿宋_GB2312" w:cs="宋体"/>
          <w:color w:val="000000"/>
          <w:kern w:val="0"/>
          <w:sz w:val="32"/>
          <w:szCs w:val="32"/>
          <w:lang w:val="en-US" w:eastAsia="zh-CN"/>
        </w:rPr>
      </w:pPr>
      <w:r>
        <w:drawing>
          <wp:inline distT="0" distB="0" distL="0" distR="0">
            <wp:extent cx="5615940" cy="2123440"/>
            <wp:effectExtent l="0" t="0" r="3810" b="101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615940" cy="2123440"/>
                    </a:xfrm>
                    <a:prstGeom prst="rect">
                      <a:avLst/>
                    </a:prstGeom>
                    <a:noFill/>
                    <a:ln>
                      <a:noFill/>
                    </a:ln>
                  </pic:spPr>
                </pic:pic>
              </a:graphicData>
            </a:graphic>
          </wp:inline>
        </w:drawing>
      </w:r>
    </w:p>
    <w:p>
      <w:pPr>
        <w:sectPr>
          <w:footerReference r:id="rId3" w:type="default"/>
          <w:pgSz w:w="11906" w:h="16838"/>
          <w:pgMar w:top="1587" w:right="1559" w:bottom="1587" w:left="1559" w:header="851" w:footer="992" w:gutter="0"/>
          <w:pgNumType w:fmt="numberInDash"/>
          <w:cols w:space="425" w:num="1"/>
          <w:docGrid w:type="lines" w:linePitch="312" w:charSpace="0"/>
        </w:sectPr>
      </w:pPr>
    </w:p>
    <w:p>
      <w:pPr>
        <w:rPr>
          <w:rFonts w:hint="eastAsia" w:ascii="黑体" w:hAnsi="黑体" w:eastAsia="黑体" w:cs="黑体"/>
          <w:sz w:val="32"/>
          <w:szCs w:val="36"/>
          <w:lang w:val="en-US" w:eastAsia="zh-CN"/>
        </w:rPr>
      </w:pPr>
      <w:r>
        <w:rPr>
          <w:rFonts w:hint="eastAsia" w:ascii="黑体" w:hAnsi="黑体" w:eastAsia="黑体" w:cs="黑体"/>
          <w:sz w:val="32"/>
          <w:szCs w:val="36"/>
          <w:lang w:eastAsia="zh-CN"/>
        </w:rPr>
        <w:t>附件</w:t>
      </w:r>
      <w:r>
        <w:rPr>
          <w:rFonts w:hint="eastAsia" w:ascii="黑体" w:hAnsi="黑体" w:eastAsia="黑体" w:cs="黑体"/>
          <w:sz w:val="32"/>
          <w:szCs w:val="36"/>
          <w:lang w:val="en-US" w:eastAsia="zh-CN"/>
        </w:rPr>
        <w:t>2</w:t>
      </w:r>
    </w:p>
    <w:tbl>
      <w:tblPr>
        <w:tblStyle w:val="6"/>
        <w:tblW w:w="1576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763"/>
        <w:gridCol w:w="1021"/>
        <w:gridCol w:w="1518"/>
        <w:gridCol w:w="1746"/>
        <w:gridCol w:w="1941"/>
        <w:gridCol w:w="417"/>
        <w:gridCol w:w="630"/>
        <w:gridCol w:w="668"/>
        <w:gridCol w:w="601"/>
        <w:gridCol w:w="525"/>
        <w:gridCol w:w="744"/>
        <w:gridCol w:w="1002"/>
        <w:gridCol w:w="486"/>
        <w:gridCol w:w="792"/>
        <w:gridCol w:w="1470"/>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jc w:val="center"/>
        </w:trPr>
        <w:tc>
          <w:tcPr>
            <w:tcW w:w="15774" w:type="dxa"/>
            <w:gridSpan w:val="1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52"/>
                <w:szCs w:val="52"/>
                <w:u w:val="none"/>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福州理工学院开课计划表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jc w:val="center"/>
        </w:trPr>
        <w:tc>
          <w:tcPr>
            <w:tcW w:w="15774" w:type="dxa"/>
            <w:gridSpan w:val="17"/>
            <w:tcBorders>
              <w:top w:val="nil"/>
              <w:left w:val="nil"/>
              <w:bottom w:val="single" w:color="000000" w:sz="4" w:space="0"/>
              <w:right w:val="nil"/>
            </w:tcBorders>
            <w:shd w:val="clear" w:color="auto" w:fill="auto"/>
            <w:vAlign w:val="top"/>
          </w:tcPr>
          <w:p>
            <w:pPr>
              <w:keepNext w:val="0"/>
              <w:keepLines w:val="0"/>
              <w:widowControl/>
              <w:suppressLineNumbers w:val="0"/>
              <w:jc w:val="left"/>
              <w:textAlignment w:val="top"/>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院/部：                              （盖章）            2022-2023学年第二学期               </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 xml:space="preserve">                                                     年      月      日至          年      月      日        共         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序号</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年级</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专业名称</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课程代码</w:t>
            </w: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课程名称</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开课部门</w:t>
            </w:r>
          </w:p>
        </w:tc>
        <w:tc>
          <w:tcPr>
            <w:tcW w:w="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学分</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周学时</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总学时</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理论总学时</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实验总学时</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实践总学时</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课程实践总学时</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上机</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人数</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课程性质</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软件工程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00C00018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大学英语（1）</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商学院</w:t>
            </w:r>
          </w:p>
        </w:tc>
        <w:tc>
          <w:tcPr>
            <w:tcW w:w="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公共基础必修课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软件工程</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01C33042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程序设计基础</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333333"/>
                <w:sz w:val="20"/>
                <w:szCs w:val="20"/>
                <w:u w:val="none"/>
              </w:rPr>
            </w:pPr>
            <w:r>
              <w:rPr>
                <w:rFonts w:hint="eastAsia" w:ascii="宋体" w:hAnsi="宋体" w:eastAsia="宋体" w:cs="宋体"/>
                <w:i w:val="0"/>
                <w:iCs w:val="0"/>
                <w:color w:val="333333"/>
                <w:kern w:val="0"/>
                <w:sz w:val="20"/>
                <w:szCs w:val="20"/>
                <w:u w:val="none"/>
                <w:lang w:val="en-US" w:eastAsia="zh-CN" w:bidi="ar"/>
              </w:rPr>
              <w:t>计算与信息科学学院</w:t>
            </w:r>
          </w:p>
        </w:tc>
        <w:tc>
          <w:tcPr>
            <w:tcW w:w="3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学科与专业基础必修课</w:t>
            </w: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Arial" w:hAnsi="Arial" w:cs="Arial"/>
                <w:i w:val="0"/>
                <w:iCs w:val="0"/>
                <w:color w:val="000000"/>
                <w:sz w:val="20"/>
                <w:szCs w:val="20"/>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3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3"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3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7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3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jc w:val="center"/>
        </w:trPr>
        <w:tc>
          <w:tcPr>
            <w:tcW w:w="15774" w:type="dxa"/>
            <w:gridSpan w:val="17"/>
            <w:tcBorders>
              <w:top w:val="single" w:color="000000" w:sz="4" w:space="0"/>
              <w:left w:val="nil"/>
              <w:bottom w:val="nil"/>
              <w:right w:val="nil"/>
            </w:tcBorders>
            <w:shd w:val="clear" w:color="auto" w:fill="auto"/>
            <w:vAlign w:val="top"/>
          </w:tcPr>
          <w:p>
            <w:pPr>
              <w:keepNext w:val="0"/>
              <w:keepLines w:val="0"/>
              <w:widowControl/>
              <w:suppressLineNumbers w:val="0"/>
              <w:jc w:val="left"/>
              <w:textAlignment w:val="top"/>
              <w:rPr>
                <w:rFonts w:hint="eastAsia" w:ascii="黑体" w:hAnsi="宋体" w:eastAsia="黑体" w:cs="黑体"/>
                <w:b/>
                <w:bCs/>
                <w:i w:val="0"/>
                <w:iCs w:val="0"/>
                <w:color w:val="000000"/>
                <w:sz w:val="22"/>
                <w:szCs w:val="22"/>
                <w:u w:val="none"/>
              </w:rPr>
            </w:pPr>
            <w:r>
              <w:rPr>
                <w:rFonts w:hint="eastAsia" w:ascii="黑体" w:hAnsi="宋体" w:eastAsia="黑体" w:cs="黑体"/>
                <w:b/>
                <w:bCs/>
                <w:i w:val="0"/>
                <w:iCs w:val="0"/>
                <w:color w:val="000000"/>
                <w:kern w:val="0"/>
                <w:sz w:val="22"/>
                <w:szCs w:val="22"/>
                <w:u w:val="none"/>
                <w:lang w:val="en-US" w:eastAsia="zh-CN" w:bidi="ar"/>
              </w:rPr>
              <w:t>制表：                 系主任（专业带头人）：                          分管副院长：                             院长：</w:t>
            </w:r>
            <w:r>
              <w:rPr>
                <w:rFonts w:hint="eastAsia" w:ascii="黑体" w:hAnsi="宋体" w:eastAsia="黑体" w:cs="黑体"/>
                <w:b/>
                <w:bCs/>
                <w:i w:val="0"/>
                <w:iCs w:val="0"/>
                <w:color w:val="000000"/>
                <w:kern w:val="0"/>
                <w:sz w:val="22"/>
                <w:szCs w:val="22"/>
                <w:u w:val="none"/>
                <w:lang w:val="en-US" w:eastAsia="zh-CN" w:bidi="ar"/>
              </w:rPr>
              <w:br w:type="textWrapping"/>
            </w:r>
            <w:r>
              <w:rPr>
                <w:rFonts w:hint="eastAsia" w:ascii="黑体" w:hAnsi="宋体" w:eastAsia="黑体" w:cs="黑体"/>
                <w:b/>
                <w:bCs/>
                <w:i w:val="0"/>
                <w:iCs w:val="0"/>
                <w:color w:val="000000"/>
                <w:kern w:val="0"/>
                <w:sz w:val="22"/>
                <w:szCs w:val="22"/>
                <w:u w:val="none"/>
                <w:lang w:val="en-US" w:eastAsia="zh-CN" w:bidi="ar"/>
              </w:rPr>
              <w:t>填写说明：</w:t>
            </w:r>
            <w:r>
              <w:rPr>
                <w:rFonts w:hint="eastAsia" w:ascii="黑体" w:hAnsi="宋体" w:eastAsia="黑体" w:cs="黑体"/>
                <w:b/>
                <w:bCs/>
                <w:i w:val="0"/>
                <w:iCs w:val="0"/>
                <w:color w:val="000000"/>
                <w:kern w:val="0"/>
                <w:sz w:val="22"/>
                <w:szCs w:val="22"/>
                <w:u w:val="none"/>
                <w:lang w:val="en-US" w:eastAsia="zh-CN" w:bidi="ar"/>
              </w:rPr>
              <w:br w:type="textWrapping"/>
            </w:r>
            <w:r>
              <w:rPr>
                <w:rFonts w:hint="eastAsia" w:ascii="黑体" w:hAnsi="宋体" w:eastAsia="黑体" w:cs="黑体"/>
                <w:b/>
                <w:bCs/>
                <w:i w:val="0"/>
                <w:iCs w:val="0"/>
                <w:color w:val="000000"/>
                <w:kern w:val="0"/>
                <w:sz w:val="22"/>
                <w:szCs w:val="22"/>
                <w:u w:val="none"/>
                <w:lang w:val="en-US" w:eastAsia="zh-CN" w:bidi="ar"/>
              </w:rPr>
              <w:t>1、系统导出课程信息不全的，请手动输入（例如学分、周课时、课程性质等）；</w:t>
            </w:r>
            <w:r>
              <w:rPr>
                <w:rFonts w:hint="eastAsia" w:ascii="黑体" w:hAnsi="宋体" w:eastAsia="黑体" w:cs="黑体"/>
                <w:b/>
                <w:bCs/>
                <w:i w:val="0"/>
                <w:iCs w:val="0"/>
                <w:color w:val="000000"/>
                <w:kern w:val="0"/>
                <w:sz w:val="22"/>
                <w:szCs w:val="22"/>
                <w:u w:val="none"/>
                <w:lang w:val="en-US" w:eastAsia="zh-CN" w:bidi="ar"/>
              </w:rPr>
              <w:br w:type="textWrapping"/>
            </w:r>
            <w:r>
              <w:rPr>
                <w:rFonts w:hint="eastAsia" w:ascii="黑体" w:hAnsi="宋体" w:eastAsia="黑体" w:cs="黑体"/>
                <w:b/>
                <w:bCs/>
                <w:i w:val="0"/>
                <w:iCs w:val="0"/>
                <w:color w:val="000000"/>
                <w:kern w:val="0"/>
                <w:sz w:val="22"/>
                <w:szCs w:val="22"/>
                <w:u w:val="none"/>
                <w:lang w:val="en-US" w:eastAsia="zh-CN" w:bidi="ar"/>
              </w:rPr>
              <w:t>2、本科专业人才培养方案是填报开课计划的根本依据，各院（系）应严格按照本科人才培养方案制定每学期开课计划；</w:t>
            </w:r>
            <w:r>
              <w:rPr>
                <w:rFonts w:hint="eastAsia" w:ascii="黑体" w:hAnsi="宋体" w:eastAsia="黑体" w:cs="黑体"/>
                <w:b/>
                <w:bCs/>
                <w:i w:val="0"/>
                <w:iCs w:val="0"/>
                <w:color w:val="000000"/>
                <w:kern w:val="0"/>
                <w:sz w:val="22"/>
                <w:szCs w:val="22"/>
                <w:u w:val="none"/>
                <w:lang w:val="en-US" w:eastAsia="zh-CN" w:bidi="ar"/>
              </w:rPr>
              <w:br w:type="textWrapping"/>
            </w:r>
            <w:r>
              <w:rPr>
                <w:rFonts w:hint="eastAsia" w:ascii="黑体" w:hAnsi="宋体" w:eastAsia="黑体" w:cs="黑体"/>
                <w:b/>
                <w:bCs/>
                <w:i w:val="0"/>
                <w:iCs w:val="0"/>
                <w:color w:val="000000"/>
                <w:kern w:val="0"/>
                <w:sz w:val="22"/>
                <w:szCs w:val="22"/>
                <w:u w:val="none"/>
                <w:lang w:val="en-US" w:eastAsia="zh-CN" w:bidi="ar"/>
              </w:rPr>
              <w:t>3、每学期开设课程原则上按照培养方案不能随意变更，需进行调整的课程，应经学院教学指导委员会审议通过后，在教务系统中提交执行计划变更申请并向教务处报备。</w:t>
            </w:r>
          </w:p>
        </w:tc>
      </w:tr>
    </w:tbl>
    <w:p>
      <w:pPr>
        <w:rPr>
          <w:rFonts w:hint="eastAsia" w:ascii="黑体" w:hAnsi="黑体" w:eastAsia="黑体" w:cs="黑体"/>
          <w:sz w:val="32"/>
          <w:szCs w:val="36"/>
          <w:lang w:val="en-US" w:eastAsia="zh-CN"/>
        </w:rPr>
        <w:sectPr>
          <w:pgSz w:w="16838" w:h="11906" w:orient="landscape"/>
          <w:pgMar w:top="1587" w:right="1559" w:bottom="1587" w:left="1559" w:header="851" w:footer="992" w:gutter="0"/>
          <w:pgNumType w:fmt="numberInDash"/>
          <w:cols w:space="425" w:num="1"/>
          <w:docGrid w:type="lines" w:linePitch="312" w:charSpace="0"/>
        </w:sectPr>
      </w:pPr>
    </w:p>
    <w:p/>
    <w:p/>
    <w:p/>
    <w:p/>
    <w:p/>
    <w:p/>
    <w:p/>
    <w:p/>
    <w:p/>
    <w:p/>
    <w:p/>
    <w:p/>
    <w:p>
      <w:pPr>
        <w:jc w:val="center"/>
        <w:rPr>
          <w:rFonts w:hint="eastAsia" w:ascii="方正仿宋_GB2312" w:hAnsi="方正仿宋_GB2312" w:eastAsia="方正仿宋_GB2312" w:cs="方正仿宋_GB2312"/>
          <w:sz w:val="32"/>
          <w:szCs w:val="32"/>
        </w:rPr>
      </w:pPr>
    </w:p>
    <w:p>
      <w:pPr>
        <w:jc w:val="center"/>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此页无正文</w:t>
      </w:r>
      <w:r>
        <w:rPr>
          <w:rFonts w:hint="eastAsia" w:ascii="方正仿宋_GB2312" w:hAnsi="方正仿宋_GB2312" w:eastAsia="方正仿宋_GB2312" w:cs="方正仿宋_GB2312"/>
          <w:sz w:val="32"/>
          <w:szCs w:val="32"/>
          <w:lang w:eastAsia="zh-CN"/>
        </w:rPr>
        <w:t>）</w:t>
      </w:r>
    </w:p>
    <w:p/>
    <w:p/>
    <w:p/>
    <w:p/>
    <w:p/>
    <w:p/>
    <w:p/>
    <w:p/>
    <w:p/>
    <w:p/>
    <w:p/>
    <w:p/>
    <w:p/>
    <w:p/>
    <w:p/>
    <w:p/>
    <w:p/>
    <w:p/>
    <w:p/>
    <w:p/>
    <w:p/>
    <w:p/>
    <w:p/>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_GB2312" w:hAnsi="宋体" w:eastAsia="仿宋_GB2312" w:cs="仿宋"/>
          <w:sz w:val="32"/>
          <w:szCs w:val="32"/>
        </w:rPr>
      </w:pPr>
    </w:p>
    <w:p>
      <w:pPr>
        <w:keepNext w:val="0"/>
        <w:keepLines w:val="0"/>
        <w:pageBreakBefore w:val="0"/>
        <w:widowControl w:val="0"/>
        <w:pBdr>
          <w:top w:val="single" w:color="auto" w:sz="6" w:space="1"/>
          <w:bottom w:val="single" w:color="auto" w:sz="6" w:space="1"/>
        </w:pBdr>
        <w:kinsoku/>
        <w:wordWrap/>
        <w:overflowPunct/>
        <w:topLinePunct w:val="0"/>
        <w:autoSpaceDE/>
        <w:autoSpaceDN/>
        <w:bidi w:val="0"/>
        <w:adjustRightInd/>
        <w:snapToGrid/>
        <w:spacing w:line="240" w:lineRule="auto"/>
        <w:ind w:firstLine="280" w:firstLineChars="100"/>
        <w:textAlignment w:val="auto"/>
        <w:rPr>
          <w:rFonts w:hint="eastAsia" w:ascii="仿宋_GB2312" w:hAnsi="宋体" w:eastAsia="仿宋_GB2312" w:cs="仿宋"/>
          <w:sz w:val="28"/>
          <w:szCs w:val="28"/>
        </w:rPr>
      </w:pPr>
      <w:r>
        <w:rPr>
          <w:rFonts w:hint="eastAsia" w:ascii="仿宋_GB2312" w:hAnsi="宋体" w:eastAsia="仿宋_GB2312" w:cs="仿宋"/>
          <w:sz w:val="28"/>
          <w:szCs w:val="28"/>
        </w:rPr>
        <w:t xml:space="preserve">福州理工学院教务处 </w:t>
      </w:r>
      <w:r>
        <w:rPr>
          <w:rFonts w:ascii="仿宋_GB2312" w:hAnsi="宋体" w:eastAsia="仿宋_GB2312" w:cs="仿宋"/>
          <w:sz w:val="28"/>
          <w:szCs w:val="28"/>
        </w:rPr>
        <w:t xml:space="preserve">                   202</w:t>
      </w:r>
      <w:r>
        <w:rPr>
          <w:rFonts w:hint="eastAsia" w:ascii="仿宋_GB2312" w:hAnsi="宋体" w:eastAsia="仿宋_GB2312" w:cs="仿宋"/>
          <w:sz w:val="28"/>
          <w:szCs w:val="28"/>
          <w:lang w:val="en-US" w:eastAsia="zh-CN"/>
        </w:rPr>
        <w:t>3</w:t>
      </w:r>
      <w:r>
        <w:rPr>
          <w:rFonts w:hint="eastAsia" w:ascii="仿宋_GB2312" w:hAnsi="宋体" w:eastAsia="仿宋_GB2312" w:cs="仿宋"/>
          <w:sz w:val="28"/>
          <w:szCs w:val="28"/>
        </w:rPr>
        <w:t>年</w:t>
      </w:r>
      <w:r>
        <w:rPr>
          <w:rFonts w:hint="eastAsia" w:ascii="仿宋_GB2312" w:hAnsi="宋体" w:eastAsia="仿宋_GB2312" w:cs="仿宋"/>
          <w:sz w:val="28"/>
          <w:szCs w:val="28"/>
          <w:lang w:val="en-US" w:eastAsia="zh-CN"/>
        </w:rPr>
        <w:t>4</w:t>
      </w:r>
      <w:r>
        <w:rPr>
          <w:rFonts w:hint="eastAsia" w:ascii="仿宋_GB2312" w:hAnsi="宋体" w:eastAsia="仿宋_GB2312" w:cs="仿宋"/>
          <w:sz w:val="28"/>
          <w:szCs w:val="28"/>
        </w:rPr>
        <w:t>月</w:t>
      </w:r>
      <w:r>
        <w:rPr>
          <w:rFonts w:hint="eastAsia" w:ascii="仿宋_GB2312" w:hAnsi="宋体" w:eastAsia="仿宋_GB2312" w:cs="仿宋"/>
          <w:sz w:val="28"/>
          <w:szCs w:val="28"/>
          <w:lang w:val="en-US" w:eastAsia="zh-CN"/>
        </w:rPr>
        <w:t>14</w:t>
      </w:r>
      <w:r>
        <w:rPr>
          <w:rFonts w:hint="eastAsia" w:ascii="仿宋_GB2312" w:hAnsi="宋体" w:eastAsia="仿宋_GB2312" w:cs="仿宋"/>
          <w:sz w:val="28"/>
          <w:szCs w:val="28"/>
        </w:rPr>
        <w:t>日印发</w:t>
      </w:r>
    </w:p>
    <w:sectPr>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inherit">
    <w:altName w:val="Cambria"/>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3"/>
                      <w:rPr>
                        <w:rFonts w:ascii="宋体" w:hAnsi="宋体"/>
                        <w:sz w:val="28"/>
                      </w:rPr>
                    </w:pP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wODc5Y2I0MDM2ODI3YjE2NTM3NDU4YjEwNjc0ZmIifQ=="/>
  </w:docVars>
  <w:rsids>
    <w:rsidRoot w:val="00172A27"/>
    <w:rsid w:val="00024A37"/>
    <w:rsid w:val="00055630"/>
    <w:rsid w:val="00125BAF"/>
    <w:rsid w:val="00172D74"/>
    <w:rsid w:val="001C5CAE"/>
    <w:rsid w:val="002111C5"/>
    <w:rsid w:val="002231E0"/>
    <w:rsid w:val="0024366D"/>
    <w:rsid w:val="002A0443"/>
    <w:rsid w:val="002A2CEE"/>
    <w:rsid w:val="00391B48"/>
    <w:rsid w:val="003B0321"/>
    <w:rsid w:val="003B03DB"/>
    <w:rsid w:val="00415825"/>
    <w:rsid w:val="00431092"/>
    <w:rsid w:val="0046799F"/>
    <w:rsid w:val="00492381"/>
    <w:rsid w:val="0050615D"/>
    <w:rsid w:val="00511657"/>
    <w:rsid w:val="0055266F"/>
    <w:rsid w:val="00683020"/>
    <w:rsid w:val="006F1E1F"/>
    <w:rsid w:val="007D6388"/>
    <w:rsid w:val="007E2BEF"/>
    <w:rsid w:val="00977351"/>
    <w:rsid w:val="00A510D8"/>
    <w:rsid w:val="00B375E6"/>
    <w:rsid w:val="00C03D78"/>
    <w:rsid w:val="00CE78D2"/>
    <w:rsid w:val="00CF0063"/>
    <w:rsid w:val="00D949D8"/>
    <w:rsid w:val="00DA4652"/>
    <w:rsid w:val="00EC5D4E"/>
    <w:rsid w:val="00F14108"/>
    <w:rsid w:val="00F35716"/>
    <w:rsid w:val="00F560CA"/>
    <w:rsid w:val="00F61264"/>
    <w:rsid w:val="00F83710"/>
    <w:rsid w:val="072639A0"/>
    <w:rsid w:val="0A1E6F61"/>
    <w:rsid w:val="0BBF4790"/>
    <w:rsid w:val="1CBF6D79"/>
    <w:rsid w:val="1F310075"/>
    <w:rsid w:val="40F21A66"/>
    <w:rsid w:val="5191545A"/>
    <w:rsid w:val="521E103E"/>
    <w:rsid w:val="584A002C"/>
    <w:rsid w:val="5BC326E1"/>
    <w:rsid w:val="5F4C10E1"/>
    <w:rsid w:val="684D14E4"/>
    <w:rsid w:val="693D1D24"/>
    <w:rsid w:val="6ACC5609"/>
    <w:rsid w:val="6CAB0B1B"/>
    <w:rsid w:val="723B3486"/>
    <w:rsid w:val="7AE13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character" w:customStyle="1" w:styleId="9">
    <w:name w:val="日期 字符"/>
    <w:basedOn w:val="7"/>
    <w:link w:val="2"/>
    <w:semiHidden/>
    <w:qFormat/>
    <w:uiPriority w:val="99"/>
  </w:style>
  <w:style w:type="character" w:customStyle="1" w:styleId="10">
    <w:name w:val="页眉 字符"/>
    <w:basedOn w:val="7"/>
    <w:link w:val="4"/>
    <w:qFormat/>
    <w:uiPriority w:val="99"/>
    <w:rPr>
      <w:rFonts w:asciiTheme="minorHAnsi" w:hAnsiTheme="minorHAnsi" w:eastAsiaTheme="minorEastAsia" w:cstheme="minorBidi"/>
      <w:kern w:val="2"/>
      <w:sz w:val="18"/>
      <w:szCs w:val="18"/>
    </w:rPr>
  </w:style>
  <w:style w:type="character" w:customStyle="1" w:styleId="11">
    <w:name w:val="页脚 字符"/>
    <w:basedOn w:val="7"/>
    <w:link w:val="3"/>
    <w:qFormat/>
    <w:uiPriority w:val="99"/>
    <w:rPr>
      <w:rFonts w:asciiTheme="minorHAnsi" w:hAnsiTheme="minorHAnsi" w:eastAsiaTheme="minorEastAsia" w:cstheme="minorBidi"/>
      <w:kern w:val="2"/>
      <w:sz w:val="18"/>
      <w:szCs w:val="18"/>
    </w:rPr>
  </w:style>
  <w:style w:type="paragraph" w:styleId="12">
    <w:name w:val="List Paragraph"/>
    <w:basedOn w:val="1"/>
    <w:qFormat/>
    <w:uiPriority w:val="34"/>
    <w:pPr>
      <w:ind w:firstLine="420" w:firstLineChars="200"/>
    </w:pPr>
  </w:style>
  <w:style w:type="character" w:customStyle="1" w:styleId="13">
    <w:name w:val="font112"/>
    <w:basedOn w:val="7"/>
    <w:uiPriority w:val="0"/>
    <w:rPr>
      <w:rFonts w:hint="eastAsia" w:ascii="黑体" w:hAnsi="宋体" w:eastAsia="黑体" w:cs="黑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199</Words>
  <Characters>1138</Characters>
  <Lines>9</Lines>
  <Paragraphs>2</Paragraphs>
  <TotalTime>3</TotalTime>
  <ScaleCrop>false</ScaleCrop>
  <LinksUpToDate>false</LinksUpToDate>
  <CharactersWithSpaces>1335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2022-11-08T08:55:00Z</dcterms:created>
  <dc:creator>Administrator</dc:creator>
  <cp:lastModifiedBy>C a i</cp:lastModifiedBy>
  <dcterms:modified xsi:type="dcterms:W3CDTF">2023-04-14T02:38:16Z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ED0689B5D9A040EFB2432E8DEC281631</vt:lpwstr>
  </property>
</Properties>
</file>