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s="黑体"/>
          <w:sz w:val="32"/>
          <w:szCs w:val="32"/>
          <w:highlight w:val="none"/>
        </w:rPr>
      </w:pPr>
      <w:r>
        <w:rPr>
          <w:rFonts w:hint="eastAsia" w:ascii="方正小标宋简体" w:hAnsi="华文中宋" w:eastAsia="方正小标宋简体"/>
          <w:color w:val="FF0000"/>
          <w:spacing w:val="40"/>
          <w:w w:val="60"/>
          <w:sz w:val="140"/>
          <w:szCs w:val="140"/>
          <w:highlight w:val="none"/>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仿宋_GB2312" w:eastAsia="仿宋_GB2312" w:cs="黑体"/>
          <w:sz w:val="32"/>
          <w:szCs w:val="32"/>
          <w:highlight w:val="none"/>
        </w:rPr>
      </w:pPr>
      <w:r>
        <w:rPr>
          <w:rFonts w:hint="eastAsia" w:ascii="仿宋_GB2312" w:eastAsia="仿宋_GB2312" w:cs="黑体"/>
          <w:sz w:val="32"/>
          <w:szCs w:val="32"/>
          <w:highlight w:val="none"/>
        </w:rPr>
        <w:t>福理工</w:t>
      </w:r>
      <w:r>
        <w:rPr>
          <w:rFonts w:hint="eastAsia" w:ascii="仿宋_GB2312" w:eastAsia="仿宋_GB2312" w:cs="黑体"/>
          <w:sz w:val="32"/>
          <w:szCs w:val="32"/>
          <w:highlight w:val="none"/>
          <w:lang w:eastAsia="zh-CN"/>
        </w:rPr>
        <w:t>教</w:t>
      </w:r>
      <w:r>
        <w:rPr>
          <w:rFonts w:hint="eastAsia" w:ascii="仿宋_GB2312" w:eastAsia="仿宋_GB2312" w:cs="黑体"/>
          <w:sz w:val="32"/>
          <w:szCs w:val="32"/>
          <w:highlight w:val="none"/>
        </w:rPr>
        <w:t>〔202</w:t>
      </w:r>
      <w:r>
        <w:rPr>
          <w:rFonts w:hint="eastAsia" w:ascii="仿宋_GB2312" w:eastAsia="仿宋_GB2312" w:cs="黑体"/>
          <w:sz w:val="32"/>
          <w:szCs w:val="32"/>
          <w:highlight w:val="none"/>
          <w:lang w:val="en-US" w:eastAsia="zh-CN"/>
        </w:rPr>
        <w:t>3</w:t>
      </w:r>
      <w:r>
        <w:rPr>
          <w:rFonts w:hint="eastAsia" w:ascii="仿宋_GB2312" w:eastAsia="仿宋_GB2312" w:cs="黑体"/>
          <w:sz w:val="32"/>
          <w:szCs w:val="32"/>
          <w:highlight w:val="none"/>
        </w:rPr>
        <w:t>〕</w:t>
      </w:r>
      <w:r>
        <w:rPr>
          <w:rFonts w:hint="eastAsia" w:ascii="仿宋_GB2312" w:eastAsia="仿宋_GB2312" w:cs="黑体"/>
          <w:sz w:val="32"/>
          <w:szCs w:val="32"/>
          <w:highlight w:val="none"/>
          <w:lang w:val="en-US" w:eastAsia="zh-CN"/>
        </w:rPr>
        <w:t>19</w:t>
      </w:r>
      <w:r>
        <w:rPr>
          <w:rFonts w:hint="eastAsia" w:ascii="仿宋_GB2312" w:eastAsia="仿宋_GB2312" w:cs="黑体"/>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华文中宋" w:hAnsi="华文中宋" w:eastAsia="华文中宋"/>
          <w:color w:val="FF0000"/>
          <w:w w:val="50"/>
          <w:sz w:val="32"/>
          <w:szCs w:val="32"/>
          <w:highlight w:val="none"/>
          <w:u w:val="thick"/>
        </w:rPr>
      </w:pPr>
      <w:r>
        <w:rPr>
          <w:rFonts w:hint="eastAsia" w:ascii="华文中宋" w:hAnsi="华文中宋" w:eastAsia="华文中宋"/>
          <w:color w:val="FF0000"/>
          <w:w w:val="50"/>
          <w:sz w:val="32"/>
          <w:szCs w:val="32"/>
          <w:highlight w:val="none"/>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olor w:val="FF0000"/>
          <w:w w:val="50"/>
          <w:sz w:val="32"/>
          <w:szCs w:val="32"/>
          <w:highlight w:val="none"/>
          <w:u w:val="thick"/>
        </w:rPr>
      </w:pP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ascii="方正小标宋简体" w:hAnsi="宋体" w:eastAsia="方正小标宋简体"/>
          <w:sz w:val="44"/>
          <w:szCs w:val="44"/>
          <w:highlight w:val="none"/>
          <w:lang w:val="en-US" w:eastAsia="zh-CN"/>
        </w:rPr>
      </w:pPr>
      <w:r>
        <w:rPr>
          <w:rFonts w:hint="eastAsia" w:ascii="方正小标宋简体" w:hAnsi="宋体" w:eastAsia="方正小标宋简体"/>
          <w:sz w:val="44"/>
          <w:szCs w:val="44"/>
          <w:highlight w:val="none"/>
        </w:rPr>
        <w:t>关于</w:t>
      </w:r>
      <w:r>
        <w:rPr>
          <w:rFonts w:hint="eastAsia" w:ascii="方正小标宋简体" w:hAnsi="宋体" w:eastAsia="方正小标宋简体"/>
          <w:sz w:val="44"/>
          <w:szCs w:val="44"/>
          <w:highlight w:val="none"/>
          <w:lang w:eastAsia="zh-CN"/>
        </w:rPr>
        <w:t>做好</w:t>
      </w:r>
      <w:r>
        <w:rPr>
          <w:rFonts w:hint="eastAsia" w:ascii="方正小标宋简体" w:hAnsi="宋体" w:eastAsia="方正小标宋简体"/>
          <w:sz w:val="44"/>
          <w:szCs w:val="44"/>
          <w:highlight w:val="none"/>
          <w:lang w:val="en-US" w:eastAsia="zh-CN"/>
        </w:rPr>
        <w:t>2022-2023学年第二学期</w:t>
      </w: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highlight w:val="none"/>
        </w:rPr>
      </w:pPr>
      <w:r>
        <w:rPr>
          <w:rFonts w:hint="eastAsia" w:ascii="方正小标宋简体" w:hAnsi="宋体" w:eastAsia="方正小标宋简体"/>
          <w:sz w:val="44"/>
          <w:szCs w:val="44"/>
          <w:highlight w:val="none"/>
          <w:lang w:val="en-US" w:eastAsia="zh-CN"/>
        </w:rPr>
        <w:t>学业预警</w:t>
      </w:r>
      <w:r>
        <w:rPr>
          <w:rFonts w:hint="eastAsia" w:ascii="方正小标宋简体" w:hAnsi="宋体" w:eastAsia="方正小标宋简体"/>
          <w:sz w:val="44"/>
          <w:szCs w:val="44"/>
          <w:highlight w:val="none"/>
        </w:rPr>
        <w:t>工作的通知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w:t>
      </w:r>
      <w:r>
        <w:rPr>
          <w:rFonts w:hint="eastAsia" w:ascii="仿宋_GB2312" w:eastAsia="仿宋_GB2312" w:cs="Times New Roman"/>
          <w:sz w:val="32"/>
          <w:szCs w:val="32"/>
          <w:lang w:eastAsia="zh-CN"/>
        </w:rPr>
        <w:t>二级学院</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lang w:val="en-US" w:eastAsia="zh-CN"/>
        </w:rPr>
      </w:pPr>
      <w:r>
        <w:rPr>
          <w:rFonts w:hint="eastAsia" w:ascii="仿宋_GB2312" w:hAnsi="仿宋" w:eastAsia="仿宋_GB2312" w:cs="仿宋"/>
          <w:sz w:val="32"/>
          <w:szCs w:val="32"/>
          <w:highlight w:val="none"/>
        </w:rPr>
        <w:t>根据《</w:t>
      </w:r>
      <w:r>
        <w:rPr>
          <w:rFonts w:hint="eastAsia" w:ascii="仿宋_GB2312" w:hAnsi="仿宋" w:eastAsia="仿宋_GB2312" w:cs="仿宋"/>
          <w:sz w:val="32"/>
          <w:szCs w:val="32"/>
          <w:highlight w:val="none"/>
          <w:lang w:val="en-US" w:eastAsia="zh-CN"/>
        </w:rPr>
        <w:t>关于印发《福州理工学院学生学业预警管理规定（试行）》的通知</w:t>
      </w: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福理工综</w:t>
      </w:r>
      <w:r>
        <w:rPr>
          <w:rFonts w:hint="eastAsia" w:ascii="仿宋_GB2312" w:hAnsi="仿宋" w:eastAsia="仿宋_GB2312" w:cs="仿宋"/>
          <w:sz w:val="32"/>
          <w:szCs w:val="32"/>
          <w:highlight w:val="none"/>
        </w:rPr>
        <w:t>〔2021〕</w:t>
      </w:r>
      <w:r>
        <w:rPr>
          <w:rFonts w:hint="eastAsia" w:ascii="仿宋_GB2312" w:hAnsi="仿宋" w:eastAsia="仿宋_GB2312" w:cs="仿宋"/>
          <w:sz w:val="32"/>
          <w:szCs w:val="32"/>
          <w:highlight w:val="none"/>
          <w:lang w:val="en-US" w:eastAsia="zh-CN"/>
        </w:rPr>
        <w:t>45</w:t>
      </w:r>
      <w:r>
        <w:rPr>
          <w:rFonts w:hint="eastAsia" w:ascii="仿宋_GB2312" w:hAnsi="仿宋" w:eastAsia="仿宋_GB2312" w:cs="仿宋"/>
          <w:sz w:val="32"/>
          <w:szCs w:val="32"/>
          <w:highlight w:val="none"/>
        </w:rPr>
        <w:t>号），</w:t>
      </w:r>
      <w:r>
        <w:rPr>
          <w:rFonts w:hint="eastAsia" w:ascii="仿宋_GB2312" w:hAnsi="仿宋" w:eastAsia="仿宋_GB2312" w:cs="仿宋"/>
          <w:sz w:val="32"/>
          <w:szCs w:val="32"/>
          <w:highlight w:val="none"/>
          <w:lang w:eastAsia="zh-CN"/>
        </w:rPr>
        <w:t>请各二级学院严格按照文件要求，于</w:t>
      </w:r>
      <w:r>
        <w:rPr>
          <w:rFonts w:hint="eastAsia" w:ascii="仿宋_GB2312" w:hAnsi="仿宋" w:eastAsia="仿宋_GB2312" w:cs="仿宋"/>
          <w:sz w:val="32"/>
          <w:szCs w:val="32"/>
          <w:highlight w:val="none"/>
          <w:lang w:val="en-US" w:eastAsia="zh-CN"/>
        </w:rPr>
        <w:t>3月3日至3月8日开展本学期学业预警工作，3月9日将《福州理工学院学业预警处理清单》《福州理工学院公共选修课学分统计表》《福州理工学院学业预警（留级、肄业退学）处理报告表》报送教务处。请各二级学院务必重视学业预警工作，做好学生谈心谈话和学业帮扶。</w:t>
      </w:r>
    </w:p>
    <w:p>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 w:eastAsia="仿宋_GB2312" w:cs="仿宋"/>
          <w:kern w:val="2"/>
          <w:sz w:val="32"/>
          <w:szCs w:val="32"/>
          <w:highlight w:val="none"/>
          <w:lang w:val="en-US" w:eastAsia="zh-CN" w:bidi="ar-SA"/>
        </w:rPr>
      </w:pPr>
      <w:r>
        <w:rPr>
          <w:rFonts w:hint="eastAsia" w:ascii="仿宋_GB2312" w:hAnsi="仿宋" w:eastAsia="仿宋_GB2312" w:cs="仿宋"/>
          <w:kern w:val="2"/>
          <w:sz w:val="32"/>
          <w:szCs w:val="32"/>
          <w:highlight w:val="none"/>
          <w:lang w:val="en-US" w:eastAsia="zh-CN" w:bidi="ar-SA"/>
        </w:rPr>
        <w:t>联系人：曾诗淇；邮箱：zsq11907@gmiot.com；电话：62990014。</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ascii="仿宋_GB2312" w:hAnsi="宋体" w:eastAsia="仿宋_GB2312" w:cs="仿宋_GB2312"/>
          <w:color w:val="000000"/>
          <w:kern w:val="0"/>
          <w:sz w:val="31"/>
          <w:szCs w:val="31"/>
          <w:lang w:val="en-US" w:eastAsia="zh-CN" w:bidi="ar"/>
        </w:rPr>
      </w:pPr>
      <w:bookmarkStart w:id="0" w:name="_GoBack"/>
      <w:bookmarkEnd w:id="0"/>
      <w:r>
        <w:rPr>
          <w:rFonts w:ascii="仿宋_GB2312" w:hAnsi="宋体" w:eastAsia="仿宋_GB2312" w:cs="仿宋_GB2312"/>
          <w:color w:val="000000"/>
          <w:kern w:val="0"/>
          <w:sz w:val="31"/>
          <w:szCs w:val="31"/>
          <w:lang w:val="en-US" w:eastAsia="zh-CN" w:bidi="ar"/>
        </w:rPr>
        <w:t>附件：福州理工学院学生学业预警管理规定（试行）</w:t>
      </w:r>
    </w:p>
    <w:p>
      <w:pPr>
        <w:pStyle w:val="2"/>
        <w:keepNext w:val="0"/>
        <w:keepLines w:val="0"/>
        <w:pageBreakBefore w:val="0"/>
        <w:kinsoku/>
        <w:wordWrap/>
        <w:overflowPunct/>
        <w:topLinePunct w:val="0"/>
        <w:autoSpaceDE/>
        <w:autoSpaceDN/>
        <w:bidi w:val="0"/>
        <w:adjustRightInd/>
        <w:snapToGrid/>
        <w:spacing w:line="540" w:lineRule="exact"/>
        <w:textAlignment w:val="auto"/>
      </w:pPr>
    </w:p>
    <w:p>
      <w:pPr>
        <w:keepNext w:val="0"/>
        <w:keepLines w:val="0"/>
        <w:pageBreakBefore w:val="0"/>
        <w:widowControl w:val="0"/>
        <w:tabs>
          <w:tab w:val="left" w:pos="7560"/>
        </w:tabs>
        <w:kinsoku/>
        <w:wordWrap/>
        <w:overflowPunct/>
        <w:topLinePunct w:val="0"/>
        <w:autoSpaceDE/>
        <w:autoSpaceDN/>
        <w:bidi w:val="0"/>
        <w:adjustRightInd/>
        <w:snapToGrid/>
        <w:spacing w:line="540" w:lineRule="exact"/>
        <w:ind w:firstLine="600" w:firstLineChars="200"/>
        <w:jc w:val="center"/>
        <w:textAlignment w:val="auto"/>
        <w:rPr>
          <w:rFonts w:hint="eastAsia" w:ascii="仿宋_GB2312" w:eastAsia="仿宋_GB2312"/>
          <w:spacing w:val="-10"/>
          <w:sz w:val="32"/>
          <w:szCs w:val="32"/>
          <w:highlight w:val="none"/>
          <w:lang w:eastAsia="zh-CN"/>
        </w:rPr>
      </w:pPr>
      <w:r>
        <w:rPr>
          <w:rFonts w:hint="eastAsia" w:ascii="仿宋_GB2312" w:eastAsia="仿宋_GB2312"/>
          <w:spacing w:val="-10"/>
          <w:sz w:val="32"/>
          <w:szCs w:val="32"/>
          <w:highlight w:val="none"/>
          <w:lang w:val="en-US" w:eastAsia="zh-CN"/>
        </w:rPr>
        <w:t xml:space="preserve">                               </w:t>
      </w:r>
      <w:r>
        <w:rPr>
          <w:rFonts w:hint="eastAsia" w:ascii="仿宋_GB2312" w:eastAsia="仿宋_GB2312"/>
          <w:spacing w:val="-10"/>
          <w:sz w:val="32"/>
          <w:szCs w:val="32"/>
          <w:highlight w:val="none"/>
        </w:rPr>
        <w:t>福州理工学院</w:t>
      </w:r>
      <w:r>
        <w:rPr>
          <w:rFonts w:hint="eastAsia" w:ascii="仿宋_GB2312" w:eastAsia="仿宋_GB2312"/>
          <w:spacing w:val="-10"/>
          <w:sz w:val="32"/>
          <w:szCs w:val="32"/>
          <w:highlight w:val="none"/>
          <w:lang w:eastAsia="zh-CN"/>
        </w:rPr>
        <w:t>教务处</w:t>
      </w:r>
    </w:p>
    <w:p>
      <w:pPr>
        <w:keepNext w:val="0"/>
        <w:keepLines w:val="0"/>
        <w:pageBreakBefore w:val="0"/>
        <w:widowControl w:val="0"/>
        <w:tabs>
          <w:tab w:val="left" w:pos="7560"/>
        </w:tabs>
        <w:kinsoku/>
        <w:wordWrap/>
        <w:overflowPunct/>
        <w:topLinePunct w:val="0"/>
        <w:autoSpaceDE/>
        <w:autoSpaceDN/>
        <w:bidi w:val="0"/>
        <w:adjustRightInd/>
        <w:snapToGrid/>
        <w:spacing w:line="540" w:lineRule="exact"/>
        <w:ind w:firstLine="600" w:firstLineChars="200"/>
        <w:jc w:val="center"/>
        <w:textAlignment w:val="auto"/>
        <w:rPr>
          <w:rFonts w:hint="eastAsia" w:ascii="仿宋_GB2312" w:eastAsia="仿宋_GB2312"/>
          <w:spacing w:val="-10"/>
          <w:sz w:val="32"/>
          <w:szCs w:val="32"/>
          <w:highlight w:val="none"/>
        </w:rPr>
      </w:pPr>
      <w:r>
        <w:rPr>
          <w:rFonts w:hint="eastAsia" w:ascii="仿宋_GB2312" w:eastAsia="仿宋_GB2312"/>
          <w:spacing w:val="-10"/>
          <w:sz w:val="32"/>
          <w:szCs w:val="32"/>
          <w:highlight w:val="none"/>
          <w:lang w:val="en-US" w:eastAsia="zh-CN"/>
        </w:rPr>
        <w:t xml:space="preserve">                               2022年3月1日</w:t>
      </w:r>
    </w:p>
    <w:p>
      <w:pPr>
        <w:ind w:firstLine="160"/>
        <w:rPr>
          <w:rFonts w:ascii="黑体" w:hAnsi="黑体" w:eastAsia="黑体"/>
          <w:sz w:val="32"/>
          <w:szCs w:val="32"/>
        </w:rPr>
      </w:pPr>
      <w:r>
        <w:rPr>
          <w:rFonts w:hint="eastAsia" w:ascii="黑体" w:hAnsi="黑体" w:eastAsia="黑体"/>
          <w:sz w:val="32"/>
          <w:szCs w:val="32"/>
        </w:rPr>
        <w:t>附件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福州理工学院学生学分预警管理规定（试行）</w:t>
      </w:r>
    </w:p>
    <w:p>
      <w:pPr>
        <w:spacing w:line="600" w:lineRule="exact"/>
        <w:ind w:firstLine="640" w:firstLineChars="200"/>
        <w:jc w:val="left"/>
        <w:rPr>
          <w:rFonts w:ascii="仿宋_GB2312" w:hAnsi="Tahoma" w:eastAsia="仿宋_GB2312" w:cs="Tahoma"/>
          <w:kern w:val="0"/>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left"/>
        <w:textAlignment w:val="auto"/>
        <w:rPr>
          <w:rFonts w:ascii="仿宋_GB2312" w:hAnsi="Tahoma" w:eastAsia="仿宋_GB2312" w:cs="Tahoma"/>
          <w:b w:val="0"/>
          <w:bCs w:val="0"/>
          <w:kern w:val="0"/>
          <w:sz w:val="32"/>
          <w:szCs w:val="32"/>
        </w:rPr>
      </w:pPr>
      <w:r>
        <w:rPr>
          <w:rFonts w:ascii="仿宋_GB2312" w:hAnsi="Tahoma" w:eastAsia="仿宋_GB2312" w:cs="Tahoma"/>
          <w:b w:val="0"/>
          <w:bCs w:val="0"/>
          <w:kern w:val="0"/>
          <w:sz w:val="32"/>
          <w:szCs w:val="32"/>
        </w:rPr>
        <w:t>为进一步加强校风学风建设以及对学生学业的指导，充分体现</w:t>
      </w:r>
      <w:r>
        <w:rPr>
          <w:rFonts w:hint="eastAsia" w:ascii="仿宋_GB2312" w:hAnsi="Tahoma" w:eastAsia="仿宋_GB2312" w:cs="Tahoma"/>
          <w:b w:val="0"/>
          <w:bCs w:val="0"/>
          <w:kern w:val="0"/>
          <w:sz w:val="32"/>
          <w:szCs w:val="32"/>
        </w:rPr>
        <w:t>“</w:t>
      </w:r>
      <w:r>
        <w:rPr>
          <w:rFonts w:ascii="仿宋_GB2312" w:hAnsi="Tahoma" w:eastAsia="仿宋_GB2312" w:cs="Tahoma"/>
          <w:b w:val="0"/>
          <w:bCs w:val="0"/>
          <w:kern w:val="0"/>
          <w:sz w:val="32"/>
          <w:szCs w:val="32"/>
        </w:rPr>
        <w:t>以学生为本</w:t>
      </w:r>
      <w:r>
        <w:rPr>
          <w:rFonts w:hint="eastAsia" w:ascii="仿宋_GB2312" w:hAnsi="Tahoma" w:eastAsia="仿宋_GB2312" w:cs="Tahoma"/>
          <w:b w:val="0"/>
          <w:bCs w:val="0"/>
          <w:kern w:val="0"/>
          <w:sz w:val="32"/>
          <w:szCs w:val="32"/>
        </w:rPr>
        <w:t>”</w:t>
      </w:r>
      <w:r>
        <w:rPr>
          <w:rFonts w:ascii="仿宋_GB2312" w:hAnsi="Tahoma" w:eastAsia="仿宋_GB2312" w:cs="Tahoma"/>
          <w:b w:val="0"/>
          <w:bCs w:val="0"/>
          <w:kern w:val="0"/>
          <w:sz w:val="32"/>
          <w:szCs w:val="32"/>
        </w:rPr>
        <w:t>的教育理念，</w:t>
      </w:r>
      <w:r>
        <w:rPr>
          <w:rFonts w:hint="eastAsia" w:ascii="仿宋_GB2312" w:hAnsi="Tahoma" w:eastAsia="仿宋_GB2312" w:cs="Tahoma"/>
          <w:b w:val="0"/>
          <w:bCs w:val="0"/>
          <w:kern w:val="0"/>
          <w:sz w:val="32"/>
          <w:szCs w:val="32"/>
        </w:rPr>
        <w:t>及时掌握和监控学生学业进程，对学生在学习中即将发生的问题和困难进行紧急提示或预先告知，</w:t>
      </w:r>
      <w:r>
        <w:rPr>
          <w:rFonts w:ascii="仿宋_GB2312" w:hAnsi="Tahoma" w:eastAsia="仿宋_GB2312" w:cs="Tahoma"/>
          <w:b w:val="0"/>
          <w:bCs w:val="0"/>
          <w:kern w:val="0"/>
          <w:sz w:val="32"/>
          <w:szCs w:val="32"/>
        </w:rPr>
        <w:t>有效</w:t>
      </w:r>
      <w:r>
        <w:rPr>
          <w:rFonts w:hint="eastAsia" w:ascii="仿宋_GB2312" w:hAnsi="Tahoma" w:eastAsia="仿宋_GB2312" w:cs="Tahoma"/>
          <w:b w:val="0"/>
          <w:bCs w:val="0"/>
          <w:kern w:val="0"/>
          <w:sz w:val="32"/>
          <w:szCs w:val="32"/>
        </w:rPr>
        <w:t>督促学生规划好个人学习计划，保障</w:t>
      </w:r>
      <w:r>
        <w:rPr>
          <w:rFonts w:ascii="仿宋_GB2312" w:hAnsi="Tahoma" w:eastAsia="仿宋_GB2312" w:cs="Tahoma"/>
          <w:b w:val="0"/>
          <w:bCs w:val="0"/>
          <w:kern w:val="0"/>
          <w:sz w:val="32"/>
          <w:szCs w:val="32"/>
        </w:rPr>
        <w:t>学生顺利完成学业，根据</w:t>
      </w:r>
      <w:r>
        <w:rPr>
          <w:rFonts w:hint="eastAsia" w:ascii="仿宋_GB2312" w:hAnsi="Tahoma" w:eastAsia="仿宋_GB2312" w:cs="Tahoma"/>
          <w:b w:val="0"/>
          <w:bCs w:val="0"/>
          <w:kern w:val="0"/>
          <w:sz w:val="32"/>
          <w:szCs w:val="32"/>
        </w:rPr>
        <w:t>《普通高等学校学生管理规定》（中华人民共和国教育部令第41号），结合</w:t>
      </w:r>
      <w:r>
        <w:rPr>
          <w:rFonts w:ascii="仿宋_GB2312" w:hAnsi="Tahoma" w:eastAsia="仿宋_GB2312" w:cs="Tahoma"/>
          <w:b w:val="0"/>
          <w:bCs w:val="0"/>
          <w:kern w:val="0"/>
          <w:sz w:val="32"/>
          <w:szCs w:val="32"/>
        </w:rPr>
        <w:t>《</w:t>
      </w:r>
      <w:r>
        <w:rPr>
          <w:rFonts w:hint="eastAsia" w:ascii="仿宋_GB2312" w:hAnsi="Tahoma" w:eastAsia="仿宋_GB2312" w:cs="Tahoma"/>
          <w:b w:val="0"/>
          <w:bCs w:val="0"/>
          <w:kern w:val="0"/>
          <w:sz w:val="32"/>
          <w:szCs w:val="32"/>
        </w:rPr>
        <w:t>福州理工学院</w:t>
      </w:r>
      <w:r>
        <w:rPr>
          <w:rFonts w:ascii="仿宋_GB2312" w:hAnsi="Tahoma" w:eastAsia="仿宋_GB2312" w:cs="Tahoma"/>
          <w:b w:val="0"/>
          <w:bCs w:val="0"/>
          <w:kern w:val="0"/>
          <w:sz w:val="32"/>
          <w:szCs w:val="32"/>
        </w:rPr>
        <w:t>学生管理规定》，</w:t>
      </w:r>
      <w:r>
        <w:rPr>
          <w:rFonts w:hint="eastAsia" w:ascii="仿宋_GB2312" w:hAnsi="Tahoma" w:eastAsia="仿宋_GB2312" w:cs="Tahoma"/>
          <w:b w:val="0"/>
          <w:bCs w:val="0"/>
          <w:kern w:val="0"/>
          <w:sz w:val="32"/>
          <w:szCs w:val="32"/>
        </w:rPr>
        <w:t>特</w:t>
      </w:r>
      <w:r>
        <w:rPr>
          <w:rFonts w:ascii="仿宋_GB2312" w:hAnsi="Tahoma" w:eastAsia="仿宋_GB2312" w:cs="Tahoma"/>
          <w:b w:val="0"/>
          <w:bCs w:val="0"/>
          <w:kern w:val="0"/>
          <w:sz w:val="32"/>
          <w:szCs w:val="32"/>
        </w:rPr>
        <w:t>制定本</w:t>
      </w:r>
      <w:r>
        <w:rPr>
          <w:rFonts w:hint="eastAsia" w:ascii="仿宋_GB2312" w:hAnsi="Tahoma" w:eastAsia="仿宋_GB2312" w:cs="Tahoma"/>
          <w:b w:val="0"/>
          <w:bCs w:val="0"/>
          <w:kern w:val="0"/>
          <w:sz w:val="32"/>
          <w:szCs w:val="32"/>
        </w:rPr>
        <w:t>规定</w:t>
      </w:r>
      <w:r>
        <w:rPr>
          <w:rFonts w:ascii="仿宋_GB2312" w:hAnsi="Tahoma" w:eastAsia="仿宋_GB2312" w:cs="Tahoma"/>
          <w:b w:val="0"/>
          <w:bCs w:val="0"/>
          <w:kern w:val="0"/>
          <w:sz w:val="32"/>
          <w:szCs w:val="32"/>
        </w:rPr>
        <w:t>。</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学业预警</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Tahoma" w:eastAsia="仿宋_GB2312" w:cs="Tahoma"/>
          <w:b w:val="0"/>
          <w:bCs w:val="0"/>
          <w:kern w:val="0"/>
          <w:sz w:val="32"/>
          <w:szCs w:val="32"/>
        </w:rPr>
        <w:t>学业预警是对学生按时完成学业的一种督促方式。通过警示学生学习过程将要走向的状态，督促学生努力学习并按时完成学业。学业预警分为三个级别：即</w:t>
      </w:r>
      <w:r>
        <w:rPr>
          <w:rFonts w:hint="eastAsia" w:ascii="仿宋_GB2312" w:hAnsi="宋体" w:eastAsia="仿宋_GB2312" w:cs="Arial"/>
          <w:b w:val="0"/>
          <w:bCs w:val="0"/>
          <w:sz w:val="32"/>
          <w:szCs w:val="32"/>
        </w:rPr>
        <w:t>学分警示、留级、肄业退学。</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（一）累欠必修课总学分</w:t>
      </w:r>
    </w:p>
    <w:p>
      <w:pPr>
        <w:keepNext w:val="0"/>
        <w:keepLines w:val="0"/>
        <w:pageBreakBefore w:val="0"/>
        <w:widowControl/>
        <w:kinsoku/>
        <w:wordWrap/>
        <w:overflowPunct/>
        <w:topLinePunct w:val="0"/>
        <w:autoSpaceDE/>
        <w:autoSpaceDN/>
        <w:bidi w:val="0"/>
        <w:adjustRightInd/>
        <w:snapToGrid/>
        <w:spacing w:line="580" w:lineRule="exact"/>
        <w:ind w:left="0" w:leftChars="0" w:firstLine="643" w:firstLineChars="200"/>
        <w:textAlignment w:val="auto"/>
        <w:rPr>
          <w:rFonts w:ascii="仿宋_GB2312" w:hAnsi="宋体" w:eastAsia="仿宋_GB2312" w:cs="Arial"/>
          <w:b w:val="0"/>
          <w:bCs w:val="0"/>
          <w:sz w:val="32"/>
          <w:szCs w:val="32"/>
        </w:rPr>
      </w:pPr>
      <w:r>
        <w:rPr>
          <w:rFonts w:hint="eastAsia" w:ascii="仿宋_GB2312" w:hAnsi="宋体" w:eastAsia="仿宋_GB2312" w:cs="Arial"/>
          <w:b/>
          <w:bCs/>
          <w:sz w:val="32"/>
          <w:szCs w:val="32"/>
        </w:rPr>
        <w:t>一级（学分警示）</w:t>
      </w:r>
      <w:r>
        <w:rPr>
          <w:rFonts w:hint="eastAsia" w:ascii="仿宋_GB2312" w:hAnsi="宋体" w:eastAsia="仿宋_GB2312" w:cs="Arial"/>
          <w:b w:val="0"/>
          <w:bCs w:val="0"/>
          <w:sz w:val="32"/>
          <w:szCs w:val="32"/>
        </w:rPr>
        <w:t>：对于10</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累欠必修课总学分≤25的学生，应给予学分警示，学院下达《福州理工学院学生学业预警告知书》（附件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），安排辅导员、班导师与学生谈话并告知学生家长，留存学业预警回执单。</w:t>
      </w:r>
    </w:p>
    <w:p>
      <w:pPr>
        <w:keepNext w:val="0"/>
        <w:keepLines w:val="0"/>
        <w:pageBreakBefore w:val="0"/>
        <w:widowControl/>
        <w:kinsoku/>
        <w:wordWrap/>
        <w:overflowPunct/>
        <w:topLinePunct w:val="0"/>
        <w:autoSpaceDE/>
        <w:autoSpaceDN/>
        <w:bidi w:val="0"/>
        <w:adjustRightInd/>
        <w:snapToGrid/>
        <w:spacing w:line="580" w:lineRule="exact"/>
        <w:ind w:left="0" w:leftChars="0" w:firstLine="643" w:firstLineChars="200"/>
        <w:textAlignment w:val="auto"/>
        <w:rPr>
          <w:rFonts w:ascii="仿宋_GB2312" w:hAnsi="宋体" w:eastAsia="仿宋_GB2312" w:cs="Arial"/>
          <w:b w:val="0"/>
          <w:bCs w:val="0"/>
          <w:sz w:val="32"/>
          <w:szCs w:val="32"/>
        </w:rPr>
      </w:pPr>
      <w:r>
        <w:rPr>
          <w:rFonts w:hint="eastAsia" w:ascii="仿宋_GB2312" w:hAnsi="宋体" w:eastAsia="仿宋_GB2312" w:cs="Arial"/>
          <w:b/>
          <w:bCs/>
          <w:sz w:val="32"/>
          <w:szCs w:val="32"/>
        </w:rPr>
        <w:t>二级（留级）</w:t>
      </w:r>
      <w:r>
        <w:rPr>
          <w:rFonts w:hint="eastAsia" w:ascii="仿宋_GB2312" w:hAnsi="宋体" w:eastAsia="仿宋_GB2312" w:cs="Arial"/>
          <w:b w:val="0"/>
          <w:bCs w:val="0"/>
          <w:sz w:val="32"/>
          <w:szCs w:val="32"/>
        </w:rPr>
        <w:t>：对于25</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累欠必修课总学分≤40的学生，原则上给予留级处理，学院下达《福州理工学院学生学业预警告知书》（附件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），安排辅导员、班导师与学生谈话并告知家长，留存学业预警回执单。同时将《福州理工学院学业预警（留级、肄业退学）处理报告表》（附件</w:t>
      </w:r>
      <w:r>
        <w:rPr>
          <w:rFonts w:hint="eastAsia" w:ascii="仿宋_GB2312" w:hAnsi="宋体" w:eastAsia="仿宋_GB2312" w:cs="Arial"/>
          <w:b w:val="0"/>
          <w:bCs w:val="0"/>
          <w:sz w:val="32"/>
          <w:szCs w:val="32"/>
          <w:lang w:val="en-US" w:eastAsia="zh-CN"/>
        </w:rPr>
        <w:t>5</w:t>
      </w:r>
      <w:r>
        <w:rPr>
          <w:rFonts w:hint="eastAsia" w:ascii="仿宋_GB2312" w:hAnsi="宋体" w:eastAsia="仿宋_GB2312" w:cs="Arial"/>
          <w:b w:val="0"/>
          <w:bCs w:val="0"/>
          <w:sz w:val="32"/>
          <w:szCs w:val="32"/>
        </w:rPr>
        <w:t>）加盖学院公章提交教务处审核，审核后留存处理报告表。</w:t>
      </w:r>
    </w:p>
    <w:p>
      <w:pPr>
        <w:keepNext w:val="0"/>
        <w:keepLines w:val="0"/>
        <w:pageBreakBefore w:val="0"/>
        <w:widowControl/>
        <w:kinsoku/>
        <w:wordWrap/>
        <w:overflowPunct/>
        <w:topLinePunct w:val="0"/>
        <w:autoSpaceDE/>
        <w:autoSpaceDN/>
        <w:bidi w:val="0"/>
        <w:adjustRightInd/>
        <w:snapToGrid/>
        <w:spacing w:line="580" w:lineRule="exact"/>
        <w:ind w:left="0" w:leftChars="0" w:firstLine="643" w:firstLineChars="200"/>
        <w:textAlignment w:val="auto"/>
        <w:rPr>
          <w:rFonts w:ascii="仿宋_GB2312" w:hAnsi="宋体" w:eastAsia="仿宋_GB2312" w:cs="Arial"/>
          <w:b w:val="0"/>
          <w:bCs w:val="0"/>
          <w:sz w:val="32"/>
          <w:szCs w:val="32"/>
        </w:rPr>
      </w:pPr>
      <w:r>
        <w:rPr>
          <w:rFonts w:hint="eastAsia" w:ascii="仿宋_GB2312" w:hAnsi="宋体" w:eastAsia="仿宋_GB2312" w:cs="Arial"/>
          <w:b/>
          <w:bCs/>
          <w:sz w:val="32"/>
          <w:szCs w:val="32"/>
        </w:rPr>
        <w:t>三级（肄业退学）</w:t>
      </w:r>
      <w:r>
        <w:rPr>
          <w:rFonts w:hint="eastAsia" w:ascii="仿宋_GB2312" w:hAnsi="宋体" w:eastAsia="仿宋_GB2312" w:cs="Arial"/>
          <w:b w:val="0"/>
          <w:bCs w:val="0"/>
          <w:sz w:val="32"/>
          <w:szCs w:val="32"/>
        </w:rPr>
        <w:t>：对于累欠必修课总学分</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40</w:t>
      </w:r>
      <w:r>
        <w:rPr>
          <w:rFonts w:ascii="仿宋_GB2312" w:hAnsi="宋体" w:eastAsia="仿宋_GB2312" w:cs="Arial"/>
          <w:b w:val="0"/>
          <w:bCs w:val="0"/>
          <w:sz w:val="32"/>
          <w:szCs w:val="32"/>
        </w:rPr>
        <w:t>的学生，</w:t>
      </w:r>
      <w:r>
        <w:rPr>
          <w:rFonts w:hint="eastAsia" w:ascii="仿宋_GB2312" w:hAnsi="宋体" w:eastAsia="仿宋_GB2312" w:cs="Arial"/>
          <w:b w:val="0"/>
          <w:bCs w:val="0"/>
          <w:sz w:val="32"/>
          <w:szCs w:val="32"/>
        </w:rPr>
        <w:t>原则上给予肄业退学处理，学院下达《福州理工学院学生学业预警告知书》（附件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），辅导员、班导师和学院分管教学领导需要与学生谈话做好详细记录并告知家长，留存学业预警回执单。同时将《福州理工学院学业预警（留级、肄业退学）处理报告表》（附件</w:t>
      </w:r>
      <w:r>
        <w:rPr>
          <w:rFonts w:hint="eastAsia" w:ascii="仿宋_GB2312" w:hAnsi="宋体" w:eastAsia="仿宋_GB2312" w:cs="Arial"/>
          <w:b w:val="0"/>
          <w:bCs w:val="0"/>
          <w:sz w:val="32"/>
          <w:szCs w:val="32"/>
          <w:lang w:val="en-US" w:eastAsia="zh-CN"/>
        </w:rPr>
        <w:t>5</w:t>
      </w:r>
      <w:r>
        <w:rPr>
          <w:rFonts w:hint="eastAsia" w:ascii="仿宋_GB2312" w:hAnsi="宋体" w:eastAsia="仿宋_GB2312" w:cs="Arial"/>
          <w:b w:val="0"/>
          <w:bCs w:val="0"/>
          <w:sz w:val="32"/>
          <w:szCs w:val="32"/>
        </w:rPr>
        <w:t>）加盖学院公章提交教务处审核，审核后留存处理报告表。达到退学规定标准的学生，如确有特殊原因，愿意且能够努力学习，经本人申请，所在学院同意，教务处批准，可以暂缓退学，在校随下一年级修读一学年。</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（二）其他必修学分</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sz w:val="32"/>
          <w:szCs w:val="32"/>
        </w:rPr>
        <w:t>1.专业选修课学分：根据各专业人才培养方案中专业选修课学分的具体规定，对专业选修</w:t>
      </w:r>
      <w:r>
        <w:rPr>
          <w:rFonts w:hint="eastAsia" w:ascii="仿宋_GB2312" w:hAnsi="宋体" w:eastAsia="仿宋_GB2312" w:cs="Arial"/>
          <w:b w:val="0"/>
          <w:bCs w:val="0"/>
          <w:color w:val="000000" w:themeColor="text1"/>
          <w:sz w:val="32"/>
          <w:szCs w:val="32"/>
          <w14:textFill>
            <w14:solidFill>
              <w14:schemeClr w14:val="tx1"/>
            </w14:solidFill>
          </w14:textFill>
        </w:rPr>
        <w:t>学分不足的学生学院应及时给予提醒。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color w:val="000000" w:themeColor="text1"/>
          <w:sz w:val="32"/>
          <w:szCs w:val="32"/>
          <w14:textFill>
            <w14:solidFill>
              <w14:schemeClr w14:val="tx1"/>
            </w14:solidFill>
          </w14:textFill>
        </w:rPr>
        <w:t>2.公共选修课学分：学院教学秘书需在本科大三学年起每学期初对学生的选修学分情况进行统计，对选修课学分明显不足的学生应及时给予提醒。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color w:val="000000" w:themeColor="text1"/>
          <w:sz w:val="32"/>
          <w:szCs w:val="32"/>
          <w14:textFill>
            <w14:solidFill>
              <w14:schemeClr w14:val="tx1"/>
            </w14:solidFill>
          </w14:textFill>
        </w:rPr>
        <w:t>3.素质拓展与劳动教育学分：学院教学秘书需在本科大三学年起每学期初对本班级学生的素质拓展与劳动教育学分获取情况进行统计，对学分明显不足的学生应及时给予提醒。</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二、学业预警主要内容</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各学院和相关部门应相互协调，密切配合，共同做好学业预警工作。具体学业预警工作由各学院负责安排。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一）</w:t>
      </w:r>
      <w:r>
        <w:rPr>
          <w:rFonts w:hint="eastAsia" w:ascii="仿宋_GB2312" w:hAnsi="宋体" w:eastAsia="仿宋_GB2312" w:cs="Arial"/>
          <w:b w:val="0"/>
          <w:bCs w:val="0"/>
          <w:sz w:val="32"/>
          <w:szCs w:val="32"/>
        </w:rPr>
        <w:t>对每位学生在校期间学分修读情况进行跟踪，统计学生学分获取情况，对需进行提醒的学生给予提醒。学院汇总《福州理工学院学业预警处理清单》报教务处，经教务处审核公布后由学院负责将预警结果告知给学生。</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二）</w:t>
      </w:r>
      <w:r>
        <w:rPr>
          <w:rFonts w:hint="eastAsia" w:ascii="仿宋_GB2312" w:hAnsi="宋体" w:eastAsia="仿宋_GB2312" w:cs="Arial"/>
          <w:b w:val="0"/>
          <w:bCs w:val="0"/>
          <w:sz w:val="32"/>
          <w:szCs w:val="32"/>
        </w:rPr>
        <w:t>告知学生及学生家长，做好解释工作，并请家长配合学校督促学生认真对待功课和学业。</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三）</w:t>
      </w:r>
      <w:r>
        <w:rPr>
          <w:rFonts w:hint="eastAsia" w:ascii="仿宋_GB2312" w:hAnsi="宋体" w:eastAsia="仿宋_GB2312" w:cs="Arial"/>
          <w:b w:val="0"/>
          <w:bCs w:val="0"/>
          <w:sz w:val="32"/>
          <w:szCs w:val="32"/>
        </w:rPr>
        <w:t>及时与学生进行沟通交流，加强对学生的督促和辅导，帮助学生制订学分修读计划，增强学生完成学业的自信心和学习主动性，促进学生健康发展。</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四）</w:t>
      </w:r>
      <w:r>
        <w:rPr>
          <w:rFonts w:hint="eastAsia" w:ascii="仿宋_GB2312" w:hAnsi="宋体" w:eastAsia="仿宋_GB2312" w:cs="Arial"/>
          <w:b w:val="0"/>
          <w:bCs w:val="0"/>
          <w:sz w:val="32"/>
          <w:szCs w:val="32"/>
        </w:rPr>
        <w:t>与学生和任课教师一起，共同制订提高学生学习成效的方案。</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三、学分预警流程</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（一</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每学期期初补考后，学院组织查询学生学分修读情况，学生对成绩情况进行核查，学院填写《福州理工学院学业预警处理清单</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福州理工学院公共选修课学分统计表</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福州理工学院素质拓展与劳动教育学分统计表》。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（二</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学院汇总并研究《福州理工学院学业预警处理清单》后报送教务处审核。教务处审核后公布学生学业预警名单。</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（三）学院打印《福州理工学院学生学业预警告知书</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福州理工学院学业预警（留级、肄业退学）处理报告表》。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（四</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学院下达《学业预警告知书</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学业预警（留级、肄业退学）处理报告表》，将预警结果告知学生，安排相关人员与学生谈话，被预警学生本人须签字确认，告知家长及签字的，须留存相关记录以确认知情和真实性。</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（五）学院安排相关人员与被预警学生谈话，加强对学生的督促和辅导，帮助学生制订相应的学分修读计划。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Tahoma" w:eastAsia="仿宋_GB2312" w:cs="Tahoma"/>
          <w:b w:val="0"/>
          <w:bCs w:val="0"/>
          <w:kern w:val="0"/>
          <w:sz w:val="32"/>
          <w:szCs w:val="32"/>
        </w:rPr>
      </w:pPr>
      <w:r>
        <w:rPr>
          <w:rFonts w:hint="eastAsia" w:ascii="仿宋_GB2312" w:hAnsi="宋体" w:eastAsia="仿宋_GB2312" w:cs="Arial"/>
          <w:b w:val="0"/>
          <w:bCs w:val="0"/>
          <w:sz w:val="32"/>
          <w:szCs w:val="32"/>
        </w:rPr>
        <w:t>（六</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教务处根据上述学业预警制度的规定，对须执行留级</w:t>
      </w:r>
      <w:r>
        <w:rPr>
          <w:rFonts w:hint="eastAsia" w:ascii="仿宋_GB2312" w:hAnsi="Tahoma" w:eastAsia="仿宋_GB2312" w:cs="Tahoma"/>
          <w:b w:val="0"/>
          <w:bCs w:val="0"/>
          <w:kern w:val="0"/>
          <w:sz w:val="32"/>
          <w:szCs w:val="32"/>
        </w:rPr>
        <w:t>处理、肄业退学处理的学生进行相关学籍异动处理（</w:t>
      </w:r>
      <w:r>
        <w:rPr>
          <w:rFonts w:hint="eastAsia" w:ascii="仿宋_GB2312" w:hAnsi="Tahoma" w:eastAsia="仿宋_GB2312" w:cs="Tahoma"/>
          <w:b/>
          <w:bCs/>
          <w:kern w:val="0"/>
          <w:sz w:val="32"/>
          <w:szCs w:val="32"/>
        </w:rPr>
        <w:t>原则上每学年第一学期进行留级处理，其他时间仅做提醒，不做实际异动操作</w:t>
      </w:r>
      <w:r>
        <w:rPr>
          <w:rFonts w:hint="eastAsia" w:ascii="仿宋_GB2312" w:hAnsi="Tahoma" w:eastAsia="仿宋_GB2312" w:cs="Tahoma"/>
          <w:b w:val="0"/>
          <w:bCs w:val="0"/>
          <w:kern w:val="0"/>
          <w:sz w:val="32"/>
          <w:szCs w:val="32"/>
        </w:rPr>
        <w:t>）。</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四、本实施细则自下发之日起执行，解释权归教务处，与本规定不符的按本规定执行。</w:t>
      </w:r>
    </w:p>
    <w:p>
      <w:pPr>
        <w:widowControl/>
        <w:spacing w:line="500" w:lineRule="exact"/>
        <w:ind w:firstLine="640" w:firstLineChars="200"/>
        <w:jc w:val="left"/>
        <w:rPr>
          <w:rFonts w:hint="eastAsia" w:ascii="仿宋_GB2312" w:hAnsi="宋体" w:eastAsia="仿宋_GB2312" w:cs="Arial"/>
          <w:sz w:val="32"/>
          <w:szCs w:val="32"/>
        </w:rPr>
      </w:pPr>
    </w:p>
    <w:p>
      <w:pPr>
        <w:widowControl/>
        <w:spacing w:line="500" w:lineRule="exact"/>
        <w:ind w:firstLine="640" w:firstLineChars="200"/>
        <w:jc w:val="left"/>
        <w:rPr>
          <w:rFonts w:hint="eastAsia" w:ascii="仿宋_GB2312" w:hAnsi="Tahoma" w:eastAsia="仿宋_GB2312" w:cs="Tahoma"/>
          <w:kern w:val="0"/>
          <w:sz w:val="32"/>
          <w:szCs w:val="32"/>
        </w:rPr>
      </w:pPr>
      <w:r>
        <w:rPr>
          <w:rFonts w:hint="eastAsia" w:ascii="仿宋_GB2312" w:hAnsi="宋体" w:eastAsia="仿宋_GB2312" w:cs="Arial"/>
          <w:sz w:val="32"/>
          <w:szCs w:val="32"/>
        </w:rPr>
        <w:t>附件</w:t>
      </w:r>
      <w:r>
        <w:rPr>
          <w:rFonts w:hint="eastAsia" w:ascii="仿宋_GB2312" w:hAnsi="宋体" w:eastAsia="仿宋_GB2312" w:cs="Arial"/>
          <w:sz w:val="32"/>
          <w:szCs w:val="32"/>
          <w:lang w:eastAsia="zh-CN"/>
        </w:rPr>
        <w:t>：</w:t>
      </w:r>
      <w:r>
        <w:rPr>
          <w:rFonts w:hint="eastAsia" w:ascii="仿宋_GB2312" w:hAnsi="宋体" w:eastAsia="仿宋_GB2312" w:cs="Arial"/>
          <w:sz w:val="32"/>
          <w:szCs w:val="32"/>
        </w:rPr>
        <w:t>1.福州理工学院学业</w:t>
      </w:r>
      <w:r>
        <w:rPr>
          <w:rFonts w:hint="eastAsia" w:ascii="仿宋_GB2312" w:hAnsi="Tahoma" w:eastAsia="仿宋_GB2312" w:cs="Tahoma"/>
          <w:kern w:val="0"/>
          <w:sz w:val="32"/>
          <w:szCs w:val="32"/>
        </w:rPr>
        <w:t>预警处理清单</w:t>
      </w:r>
    </w:p>
    <w:p>
      <w:pPr>
        <w:widowControl/>
        <w:spacing w:line="500" w:lineRule="exact"/>
        <w:ind w:firstLine="1600" w:firstLineChars="500"/>
        <w:jc w:val="left"/>
        <w:rPr>
          <w:rFonts w:ascii="仿宋_GB2312" w:hAnsi="宋体" w:eastAsia="仿宋_GB2312" w:cs="Arial"/>
          <w:sz w:val="32"/>
          <w:szCs w:val="32"/>
        </w:rPr>
      </w:pPr>
      <w:r>
        <w:rPr>
          <w:rFonts w:hint="eastAsia" w:ascii="仿宋_GB2312" w:hAnsi="Tahoma" w:eastAsia="仿宋_GB2312" w:cs="Tahoma"/>
          <w:kern w:val="0"/>
          <w:sz w:val="32"/>
          <w:szCs w:val="32"/>
        </w:rPr>
        <w:t>2.福州理工学院公共选修课学分统计表</w:t>
      </w:r>
    </w:p>
    <w:p>
      <w:pPr>
        <w:widowControl/>
        <w:tabs>
          <w:tab w:val="left" w:pos="312"/>
        </w:tabs>
        <w:spacing w:line="500" w:lineRule="exact"/>
        <w:ind w:left="640" w:firstLine="960" w:firstLineChars="300"/>
        <w:jc w:val="left"/>
        <w:rPr>
          <w:rFonts w:ascii="仿宋_GB2312" w:hAnsi="宋体" w:eastAsia="仿宋_GB2312" w:cs="Arial"/>
          <w:sz w:val="32"/>
          <w:szCs w:val="32"/>
        </w:rPr>
      </w:pPr>
      <w:r>
        <w:rPr>
          <w:rFonts w:hint="eastAsia" w:ascii="仿宋_GB2312" w:hAnsi="Tahoma" w:eastAsia="仿宋_GB2312" w:cs="Tahoma"/>
          <w:kern w:val="0"/>
          <w:sz w:val="32"/>
          <w:szCs w:val="32"/>
        </w:rPr>
        <w:t>3.福州理工学院素质拓展与劳动教育学分统计表</w:t>
      </w:r>
    </w:p>
    <w:p>
      <w:pPr>
        <w:widowControl/>
        <w:tabs>
          <w:tab w:val="left" w:pos="312"/>
        </w:tabs>
        <w:spacing w:line="500" w:lineRule="exact"/>
        <w:ind w:left="640" w:firstLine="960" w:firstLineChars="300"/>
        <w:jc w:val="left"/>
        <w:rPr>
          <w:rFonts w:ascii="仿宋_GB2312" w:hAnsi="宋体" w:eastAsia="仿宋_GB2312" w:cs="Arial"/>
          <w:sz w:val="32"/>
          <w:szCs w:val="32"/>
        </w:rPr>
      </w:pPr>
      <w:r>
        <w:rPr>
          <w:rFonts w:hint="eastAsia" w:ascii="仿宋_GB2312" w:hAnsi="宋体" w:eastAsia="仿宋_GB2312" w:cs="Arial"/>
          <w:sz w:val="32"/>
          <w:szCs w:val="32"/>
        </w:rPr>
        <w:t>4.福州理工学院学生学业预警告知书</w:t>
      </w:r>
    </w:p>
    <w:p>
      <w:pPr>
        <w:widowControl/>
        <w:tabs>
          <w:tab w:val="left" w:pos="312"/>
        </w:tabs>
        <w:spacing w:line="500" w:lineRule="exact"/>
        <w:ind w:left="1918" w:leftChars="761" w:hanging="320" w:hangingChars="100"/>
        <w:jc w:val="left"/>
        <w:rPr>
          <w:rFonts w:ascii="仿宋_GB2312" w:hAnsi="宋体" w:eastAsia="仿宋_GB2312" w:cs="Arial"/>
          <w:sz w:val="32"/>
          <w:szCs w:val="32"/>
        </w:rPr>
      </w:pPr>
      <w:r>
        <w:rPr>
          <w:rFonts w:hint="eastAsia" w:ascii="仿宋_GB2312" w:hAnsi="宋体" w:eastAsia="仿宋_GB2312" w:cs="Arial"/>
          <w:sz w:val="32"/>
          <w:szCs w:val="32"/>
        </w:rPr>
        <w:t>5.福州理工学院学业预警（留级、肄业退学）处理报告表</w:t>
      </w:r>
    </w:p>
    <w:p>
      <w:pPr>
        <w:widowControl/>
        <w:tabs>
          <w:tab w:val="left" w:pos="312"/>
        </w:tabs>
        <w:spacing w:line="500" w:lineRule="exact"/>
        <w:ind w:left="640" w:firstLine="960" w:firstLineChars="300"/>
        <w:jc w:val="left"/>
        <w:rPr>
          <w:rFonts w:ascii="仿宋_GB2312" w:hAnsi="Tahoma" w:eastAsia="仿宋_GB2312" w:cs="Tahoma"/>
          <w:kern w:val="0"/>
          <w:sz w:val="32"/>
          <w:szCs w:val="32"/>
        </w:rPr>
      </w:pPr>
      <w:r>
        <w:rPr>
          <w:rFonts w:hint="eastAsia" w:ascii="仿宋_GB2312" w:hAnsi="Tahoma" w:eastAsia="仿宋_GB2312" w:cs="Tahoma"/>
          <w:kern w:val="0"/>
          <w:sz w:val="32"/>
          <w:szCs w:val="32"/>
        </w:rPr>
        <w:t>6.学院学籍预警排查操作手册</w:t>
      </w:r>
    </w:p>
    <w:p>
      <w:pPr>
        <w:sectPr>
          <w:footerReference r:id="rId3" w:type="default"/>
          <w:pgSz w:w="11906" w:h="16838"/>
          <w:pgMar w:top="1587" w:right="1559" w:bottom="1587" w:left="1559" w:header="851" w:footer="992" w:gutter="0"/>
          <w:pgNumType w:fmt="numberInDash" w:start="1"/>
          <w:cols w:space="425" w:num="1"/>
          <w:docGrid w:type="lines" w:linePitch="312" w:charSpace="0"/>
        </w:sectPr>
      </w:pPr>
    </w:p>
    <w:tbl>
      <w:tblPr>
        <w:tblStyle w:val="7"/>
        <w:tblW w:w="13933" w:type="dxa"/>
        <w:tblInd w:w="0" w:type="dxa"/>
        <w:tblLayout w:type="fixed"/>
        <w:tblCellMar>
          <w:top w:w="0" w:type="dxa"/>
          <w:left w:w="0" w:type="dxa"/>
          <w:bottom w:w="0" w:type="dxa"/>
          <w:right w:w="0" w:type="dxa"/>
        </w:tblCellMar>
      </w:tblPr>
      <w:tblGrid>
        <w:gridCol w:w="643"/>
        <w:gridCol w:w="1935"/>
        <w:gridCol w:w="1371"/>
        <w:gridCol w:w="1584"/>
        <w:gridCol w:w="1515"/>
        <w:gridCol w:w="1380"/>
        <w:gridCol w:w="1275"/>
        <w:gridCol w:w="1830"/>
        <w:gridCol w:w="2400"/>
      </w:tblGrid>
      <w:tr>
        <w:tblPrEx>
          <w:tblCellMar>
            <w:top w:w="0" w:type="dxa"/>
            <w:left w:w="0" w:type="dxa"/>
            <w:bottom w:w="0" w:type="dxa"/>
            <w:right w:w="0" w:type="dxa"/>
          </w:tblCellMar>
        </w:tblPrEx>
        <w:trPr>
          <w:trHeight w:val="270" w:hRule="atLeast"/>
        </w:trPr>
        <w:tc>
          <w:tcPr>
            <w:tcW w:w="13933" w:type="dxa"/>
            <w:gridSpan w:val="9"/>
            <w:tcBorders>
              <w:top w:val="nil"/>
              <w:left w:val="nil"/>
              <w:bottom w:val="nil"/>
              <w:right w:val="nil"/>
            </w:tcBorders>
            <w:shd w:val="clear" w:color="auto" w:fill="auto"/>
            <w:noWrap/>
            <w:tcMar>
              <w:top w:w="15" w:type="dxa"/>
              <w:left w:w="15" w:type="dxa"/>
              <w:right w:w="15" w:type="dxa"/>
            </w:tcMar>
          </w:tcPr>
          <w:p>
            <w:pPr>
              <w:spacing w:beforeLines="50" w:afterLines="50"/>
              <w:jc w:val="left"/>
              <w:rPr>
                <w:rFonts w:hint="eastAsia" w:ascii="黑体" w:hAnsi="黑体" w:eastAsia="黑体" w:cs="黑体"/>
                <w:sz w:val="32"/>
                <w:szCs w:val="32"/>
              </w:rPr>
            </w:pPr>
            <w:r>
              <w:rPr>
                <w:rFonts w:hint="eastAsia" w:ascii="黑体" w:hAnsi="黑体" w:eastAsia="黑体" w:cs="黑体"/>
                <w:sz w:val="32"/>
                <w:szCs w:val="32"/>
              </w:rPr>
              <w:t>附件1</w:t>
            </w:r>
          </w:p>
          <w:p>
            <w:pPr>
              <w:widowControl/>
              <w:jc w:val="center"/>
              <w:textAlignment w:val="center"/>
              <w:rPr>
                <w:rFonts w:ascii="宋体" w:hAnsi="宋体" w:eastAsia="宋体" w:cs="宋体"/>
                <w:color w:val="000000"/>
                <w:sz w:val="22"/>
              </w:rPr>
            </w:pPr>
            <w:r>
              <w:rPr>
                <w:rFonts w:hint="eastAsia" w:ascii="方正小标宋简体" w:hAnsi="方正小标宋简体" w:eastAsia="方正小标宋简体" w:cs="方正小标宋简体"/>
                <w:b w:val="0"/>
                <w:bCs w:val="0"/>
                <w:color w:val="000000"/>
                <w:kern w:val="0"/>
                <w:sz w:val="44"/>
                <w:szCs w:val="44"/>
              </w:rPr>
              <w:t>福州理工学院学业预警处理清单</w:t>
            </w:r>
          </w:p>
        </w:tc>
      </w:tr>
      <w:tr>
        <w:tblPrEx>
          <w:tblCellMar>
            <w:top w:w="0" w:type="dxa"/>
            <w:left w:w="0" w:type="dxa"/>
            <w:bottom w:w="0" w:type="dxa"/>
            <w:right w:w="0" w:type="dxa"/>
          </w:tblCellMar>
        </w:tblPrEx>
        <w:trPr>
          <w:trHeight w:val="477" w:hRule="atLeast"/>
        </w:trPr>
        <w:tc>
          <w:tcPr>
            <w:tcW w:w="13933"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      学年 第  学期</w:t>
            </w: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序号</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学院</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专业</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班级</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学号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姓名</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不及格学分</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预警级别</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联系方式/备注</w:t>
            </w: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810" w:hRule="atLeast"/>
        </w:trPr>
        <w:tc>
          <w:tcPr>
            <w:tcW w:w="13933" w:type="dxa"/>
            <w:gridSpan w:val="9"/>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Style w:val="9"/>
                <w:rFonts w:hint="default"/>
              </w:rPr>
            </w:pPr>
          </w:p>
          <w:p>
            <w:pPr>
              <w:widowControl/>
              <w:jc w:val="left"/>
              <w:textAlignment w:val="top"/>
              <w:rPr>
                <w:rFonts w:ascii="宋体" w:hAnsi="宋体" w:eastAsia="宋体" w:cs="宋体"/>
                <w:color w:val="000000"/>
                <w:sz w:val="22"/>
              </w:rPr>
            </w:pPr>
            <w:r>
              <w:rPr>
                <w:rStyle w:val="9"/>
                <w:rFonts w:hint="default"/>
              </w:rPr>
              <w:t>制表人</w:t>
            </w:r>
            <w:r>
              <w:rPr>
                <w:rStyle w:val="9"/>
                <w:rFonts w:hint="eastAsia"/>
                <w:lang w:eastAsia="zh-CN"/>
              </w:rPr>
              <w:t>：</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Style w:val="9"/>
                <w:rFonts w:hint="default"/>
              </w:rPr>
              <w:t>学院领导</w:t>
            </w:r>
            <w:r>
              <w:rPr>
                <w:rStyle w:val="9"/>
                <w:rFonts w:hint="eastAsia"/>
                <w:lang w:eastAsia="zh-CN"/>
              </w:rPr>
              <w:t>（</w:t>
            </w:r>
            <w:r>
              <w:rPr>
                <w:rStyle w:val="9"/>
                <w:rFonts w:hint="default"/>
              </w:rPr>
              <w:t>签章</w:t>
            </w:r>
            <w:r>
              <w:rPr>
                <w:rStyle w:val="9"/>
                <w:rFonts w:hint="eastAsia"/>
                <w:lang w:eastAsia="zh-CN"/>
              </w:rPr>
              <w:t>）</w:t>
            </w:r>
            <w:r>
              <w:rPr>
                <w:rStyle w:val="9"/>
                <w:rFonts w:hint="default"/>
              </w:rPr>
              <w:t>：</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Style w:val="9"/>
                <w:rFonts w:hint="default"/>
              </w:rPr>
              <w:t>教务处审核：</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p>
          <w:p>
            <w:pPr>
              <w:widowControl/>
              <w:jc w:val="left"/>
              <w:textAlignment w:val="center"/>
              <w:rPr>
                <w:rFonts w:ascii="宋体" w:hAnsi="宋体" w:eastAsia="宋体" w:cs="宋体"/>
                <w:color w:val="000000"/>
                <w:sz w:val="22"/>
              </w:rPr>
            </w:pPr>
          </w:p>
          <w:p>
            <w:pPr>
              <w:widowControl/>
              <w:jc w:val="left"/>
              <w:textAlignment w:val="top"/>
              <w:rPr>
                <w:rFonts w:ascii="宋体" w:hAnsi="宋体" w:eastAsia="宋体" w:cs="宋体"/>
                <w:color w:val="000000"/>
                <w:sz w:val="22"/>
              </w:rPr>
            </w:pPr>
            <w:r>
              <w:rPr>
                <w:rStyle w:val="9"/>
                <w:rFonts w:hint="default"/>
              </w:rPr>
              <w:t xml:space="preserve">                                                    </w:t>
            </w:r>
          </w:p>
          <w:p>
            <w:pPr>
              <w:rPr>
                <w:rFonts w:ascii="宋体" w:hAnsi="宋体" w:eastAsia="宋体" w:cs="宋体"/>
                <w:color w:val="000000"/>
                <w:sz w:val="22"/>
              </w:rPr>
            </w:pPr>
          </w:p>
        </w:tc>
      </w:tr>
    </w:tbl>
    <w:p>
      <w:pPr>
        <w:spacing w:beforeLines="50" w:afterLines="50"/>
        <w:jc w:val="left"/>
        <w:rPr>
          <w:rFonts w:eastAsia="黑体"/>
          <w:sz w:val="30"/>
          <w:szCs w:val="30"/>
        </w:rPr>
        <w:sectPr>
          <w:headerReference r:id="rId4" w:type="default"/>
          <w:pgSz w:w="16838" w:h="11906" w:orient="landscape"/>
          <w:pgMar w:top="1440" w:right="1803" w:bottom="1440" w:left="1803" w:header="851" w:footer="992" w:gutter="0"/>
          <w:pgNumType w:fmt="numberInDash"/>
          <w:cols w:space="0" w:num="1"/>
          <w:docGrid w:linePitch="312" w:charSpace="0"/>
        </w:sectPr>
      </w:pPr>
    </w:p>
    <w:tbl>
      <w:tblPr>
        <w:tblStyle w:val="7"/>
        <w:tblW w:w="4975" w:type="pct"/>
        <w:tblInd w:w="68" w:type="dxa"/>
        <w:tblLayout w:type="autofit"/>
        <w:tblCellMar>
          <w:top w:w="0" w:type="dxa"/>
          <w:left w:w="0" w:type="dxa"/>
          <w:bottom w:w="0" w:type="dxa"/>
          <w:right w:w="0" w:type="dxa"/>
        </w:tblCellMar>
      </w:tblPr>
      <w:tblGrid>
        <w:gridCol w:w="575"/>
        <w:gridCol w:w="1369"/>
        <w:gridCol w:w="1045"/>
        <w:gridCol w:w="1130"/>
        <w:gridCol w:w="1053"/>
        <w:gridCol w:w="1042"/>
        <w:gridCol w:w="874"/>
        <w:gridCol w:w="1204"/>
        <w:gridCol w:w="1158"/>
        <w:gridCol w:w="1092"/>
        <w:gridCol w:w="1026"/>
        <w:gridCol w:w="946"/>
        <w:gridCol w:w="1235"/>
      </w:tblGrid>
      <w:tr>
        <w:tblPrEx>
          <w:tblCellMar>
            <w:top w:w="0" w:type="dxa"/>
            <w:left w:w="0" w:type="dxa"/>
            <w:bottom w:w="0" w:type="dxa"/>
            <w:right w:w="0" w:type="dxa"/>
          </w:tblCellMar>
        </w:tblPrEx>
        <w:trPr>
          <w:trHeight w:val="90" w:hRule="atLeast"/>
        </w:trPr>
        <w:tc>
          <w:tcPr>
            <w:tcW w:w="5000" w:type="pct"/>
            <w:gridSpan w:val="13"/>
            <w:tcBorders>
              <w:top w:val="nil"/>
              <w:left w:val="nil"/>
              <w:bottom w:val="single" w:color="000000" w:sz="4" w:space="0"/>
              <w:right w:val="nil"/>
            </w:tcBorders>
            <w:shd w:val="clear" w:color="auto" w:fill="auto"/>
            <w:tcMar>
              <w:top w:w="15" w:type="dxa"/>
              <w:left w:w="15" w:type="dxa"/>
              <w:right w:w="15" w:type="dxa"/>
            </w:tcMar>
            <w:vAlign w:val="center"/>
          </w:tcPr>
          <w:p>
            <w:pPr>
              <w:spacing w:beforeLines="50" w:afterLines="50"/>
              <w:jc w:val="left"/>
              <w:rPr>
                <w:rFonts w:hint="eastAsia" w:ascii="黑体" w:hAnsi="黑体" w:eastAsia="黑体" w:cs="黑体"/>
                <w:sz w:val="32"/>
                <w:szCs w:val="32"/>
              </w:rPr>
            </w:pPr>
            <w:r>
              <w:rPr>
                <w:rFonts w:hint="eastAsia" w:ascii="黑体" w:hAnsi="黑体" w:eastAsia="黑体" w:cs="黑体"/>
                <w:sz w:val="32"/>
                <w:szCs w:val="32"/>
              </w:rPr>
              <w:t>附件2</w:t>
            </w:r>
          </w:p>
          <w:p>
            <w:pPr>
              <w:widowControl/>
              <w:jc w:val="center"/>
              <w:textAlignment w:val="center"/>
              <w:rPr>
                <w:rFonts w:ascii="宋体" w:hAnsi="宋体" w:eastAsia="宋体" w:cs="宋体"/>
                <w:color w:val="000000"/>
                <w:sz w:val="32"/>
                <w:szCs w:val="32"/>
              </w:rPr>
            </w:pPr>
            <w:r>
              <w:rPr>
                <w:rFonts w:hint="eastAsia" w:ascii="方正小标宋简体" w:hAnsi="方正小标宋简体" w:eastAsia="方正小标宋简体" w:cs="方正小标宋简体"/>
                <w:b w:val="0"/>
                <w:bCs w:val="0"/>
                <w:color w:val="000000"/>
                <w:kern w:val="0"/>
                <w:sz w:val="44"/>
                <w:szCs w:val="44"/>
              </w:rPr>
              <w:t>公共选修课学分统计表</w:t>
            </w:r>
          </w:p>
        </w:tc>
      </w:tr>
      <w:tr>
        <w:tblPrEx>
          <w:tblCellMar>
            <w:top w:w="0" w:type="dxa"/>
            <w:left w:w="0" w:type="dxa"/>
            <w:bottom w:w="0" w:type="dxa"/>
            <w:right w:w="0" w:type="dxa"/>
          </w:tblCellMar>
        </w:tblPrEx>
        <w:trPr>
          <w:trHeight w:val="405"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      学年 第  学期</w:t>
            </w:r>
          </w:p>
        </w:tc>
      </w:tr>
      <w:tr>
        <w:tblPrEx>
          <w:tblCellMar>
            <w:top w:w="0" w:type="dxa"/>
            <w:left w:w="0" w:type="dxa"/>
            <w:bottom w:w="0" w:type="dxa"/>
            <w:right w:w="0" w:type="dxa"/>
          </w:tblCellMar>
        </w:tblPrEx>
        <w:trPr>
          <w:trHeight w:val="885"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序号</w:t>
            </w: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学院</w:t>
            </w: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专业</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班级</w:t>
            </w: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学号</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姓名</w:t>
            </w: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总学分</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人文社会科学</w:t>
            </w: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自然科学与工程技术</w:t>
            </w: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创新创业教育</w:t>
            </w: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美育与艺术鉴赏</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健康与公共卫生</w:t>
            </w: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思想政治教育</w:t>
            </w: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0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270" w:hRule="atLeast"/>
        </w:trPr>
        <w:tc>
          <w:tcPr>
            <w:tcW w:w="1498" w:type="pct"/>
            <w:gridSpan w:val="4"/>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制表人：</w:t>
            </w:r>
            <w:r>
              <w:rPr>
                <w:rFonts w:hint="eastAsia" w:ascii="宋体" w:hAnsi="宋体" w:eastAsia="宋体" w:cs="宋体"/>
                <w:color w:val="000000"/>
                <w:kern w:val="0"/>
                <w:sz w:val="22"/>
                <w:u w:val="single"/>
              </w:rPr>
              <w:t xml:space="preserve">               </w:t>
            </w:r>
          </w:p>
        </w:tc>
        <w:tc>
          <w:tcPr>
            <w:tcW w:w="383"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79"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18"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1256" w:type="pct"/>
            <w:gridSpan w:val="3"/>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学院领导（签章）：</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Fonts w:hint="eastAsia" w:ascii="宋体" w:hAnsi="宋体" w:eastAsia="宋体" w:cs="宋体"/>
                <w:color w:val="000000"/>
                <w:kern w:val="0"/>
                <w:sz w:val="22"/>
                <w:u w:val="single"/>
              </w:rPr>
              <w:t xml:space="preserve">                       </w:t>
            </w:r>
          </w:p>
        </w:tc>
        <w:tc>
          <w:tcPr>
            <w:tcW w:w="373" w:type="pct"/>
            <w:tcBorders>
              <w:top w:val="nil"/>
              <w:left w:val="nil"/>
              <w:bottom w:val="nil"/>
              <w:right w:val="nil"/>
            </w:tcBorders>
            <w:shd w:val="clear" w:color="auto" w:fill="auto"/>
            <w:tcMar>
              <w:top w:w="15" w:type="dxa"/>
              <w:left w:w="15" w:type="dxa"/>
              <w:right w:w="15" w:type="dxa"/>
            </w:tcMar>
            <w:vAlign w:val="center"/>
          </w:tcPr>
          <w:p>
            <w:pPr>
              <w:jc w:val="left"/>
              <w:rPr>
                <w:rFonts w:ascii="宋体" w:hAnsi="宋体" w:eastAsia="宋体" w:cs="宋体"/>
                <w:color w:val="000000"/>
                <w:sz w:val="22"/>
                <w:u w:val="single"/>
              </w:rPr>
            </w:pPr>
            <w:r>
              <w:rPr>
                <w:rFonts w:hint="eastAsia" w:ascii="宋体" w:hAnsi="宋体" w:eastAsia="宋体" w:cs="宋体"/>
                <w:color w:val="000000"/>
                <w:sz w:val="22"/>
                <w:u w:val="single"/>
              </w:rPr>
              <w:t xml:space="preserve">           </w:t>
            </w:r>
          </w:p>
        </w:tc>
        <w:tc>
          <w:tcPr>
            <w:tcW w:w="344" w:type="pct"/>
            <w:tcBorders>
              <w:top w:val="nil"/>
              <w:left w:val="nil"/>
              <w:bottom w:val="nil"/>
              <w:right w:val="nil"/>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449"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bl>
    <w:p>
      <w:pPr>
        <w:spacing w:beforeLines="50" w:afterLines="50"/>
        <w:jc w:val="left"/>
        <w:rPr>
          <w:rFonts w:eastAsia="黑体"/>
          <w:sz w:val="30"/>
          <w:szCs w:val="30"/>
        </w:rPr>
        <w:sectPr>
          <w:pgSz w:w="16838" w:h="11906" w:orient="landscape"/>
          <w:pgMar w:top="1440" w:right="1440" w:bottom="1286" w:left="1610" w:header="851" w:footer="992" w:gutter="0"/>
          <w:pgNumType w:fmt="numberInDash"/>
          <w:cols w:space="0" w:num="1"/>
          <w:docGrid w:linePitch="312" w:charSpace="0"/>
        </w:sectPr>
      </w:pPr>
    </w:p>
    <w:p>
      <w:pPr>
        <w:spacing w:beforeLines="50" w:afterLines="50"/>
        <w:jc w:val="left"/>
        <w:rPr>
          <w:rFonts w:eastAsia="黑体"/>
          <w:sz w:val="30"/>
          <w:szCs w:val="30"/>
        </w:rPr>
        <w:sectPr>
          <w:type w:val="continuous"/>
          <w:pgSz w:w="16838" w:h="11906" w:orient="landscape"/>
          <w:pgMar w:top="1440" w:right="1440" w:bottom="1287" w:left="1440" w:header="851" w:footer="992" w:gutter="0"/>
          <w:pgNumType w:fmt="numberInDash"/>
          <w:cols w:space="0" w:num="1"/>
          <w:docGrid w:linePitch="312" w:charSpace="0"/>
        </w:sectPr>
      </w:pPr>
    </w:p>
    <w:tbl>
      <w:tblPr>
        <w:tblStyle w:val="7"/>
        <w:tblpPr w:leftFromText="180" w:rightFromText="180" w:vertAnchor="text" w:horzAnchor="page" w:tblpX="1004" w:tblpY="35"/>
        <w:tblOverlap w:val="never"/>
        <w:tblW w:w="14376" w:type="dxa"/>
        <w:tblInd w:w="165" w:type="dxa"/>
        <w:tblLayout w:type="autofit"/>
        <w:tblCellMar>
          <w:top w:w="0" w:type="dxa"/>
          <w:left w:w="0" w:type="dxa"/>
          <w:bottom w:w="0" w:type="dxa"/>
          <w:right w:w="0" w:type="dxa"/>
        </w:tblCellMar>
      </w:tblPr>
      <w:tblGrid>
        <w:gridCol w:w="711"/>
        <w:gridCol w:w="2160"/>
        <w:gridCol w:w="1620"/>
        <w:gridCol w:w="1635"/>
        <w:gridCol w:w="1530"/>
        <w:gridCol w:w="1245"/>
        <w:gridCol w:w="2130"/>
        <w:gridCol w:w="3345"/>
      </w:tblGrid>
      <w:tr>
        <w:tblPrEx>
          <w:tblCellMar>
            <w:top w:w="0" w:type="dxa"/>
            <w:left w:w="0" w:type="dxa"/>
            <w:bottom w:w="0" w:type="dxa"/>
            <w:right w:w="0" w:type="dxa"/>
          </w:tblCellMar>
        </w:tblPrEx>
        <w:trPr>
          <w:wAfter w:w="0" w:type="auto"/>
          <w:trHeight w:val="570" w:hRule="atLeast"/>
        </w:trPr>
        <w:tc>
          <w:tcPr>
            <w:tcW w:w="14376" w:type="dxa"/>
            <w:gridSpan w:val="8"/>
            <w:tcBorders>
              <w:top w:val="nil"/>
              <w:left w:val="nil"/>
              <w:bottom w:val="nil"/>
              <w:right w:val="nil"/>
            </w:tcBorders>
            <w:shd w:val="clear" w:color="auto" w:fill="auto"/>
            <w:tcMar>
              <w:top w:w="15" w:type="dxa"/>
              <w:left w:w="15" w:type="dxa"/>
              <w:right w:w="15" w:type="dxa"/>
            </w:tcMar>
            <w:vAlign w:val="center"/>
          </w:tcPr>
          <w:p>
            <w:pPr>
              <w:spacing w:beforeLines="50" w:afterLines="50"/>
              <w:jc w:val="left"/>
              <w:rPr>
                <w:rFonts w:hint="eastAsia" w:ascii="方正小标宋简体" w:hAnsi="方正小标宋简体" w:eastAsia="方正小标宋简体" w:cs="方正小标宋简体"/>
                <w:b w:val="0"/>
                <w:bCs w:val="0"/>
                <w:color w:val="000000"/>
                <w:kern w:val="0"/>
                <w:sz w:val="44"/>
                <w:szCs w:val="44"/>
              </w:rPr>
            </w:pPr>
            <w:r>
              <w:rPr>
                <w:rFonts w:hint="eastAsia" w:ascii="黑体" w:hAnsi="黑体" w:eastAsia="黑体" w:cs="黑体"/>
                <w:sz w:val="32"/>
                <w:szCs w:val="32"/>
              </w:rPr>
              <w:t>附件3</w:t>
            </w:r>
          </w:p>
          <w:p>
            <w:pPr>
              <w:widowControl/>
              <w:jc w:val="center"/>
              <w:textAlignment w:val="center"/>
              <w:rPr>
                <w:rFonts w:ascii="宋体" w:hAnsi="宋体" w:eastAsia="宋体" w:cs="宋体"/>
                <w:color w:val="000000"/>
                <w:sz w:val="32"/>
                <w:szCs w:val="32"/>
              </w:rPr>
            </w:pPr>
            <w:r>
              <w:rPr>
                <w:rFonts w:hint="eastAsia" w:ascii="方正小标宋简体" w:hAnsi="方正小标宋简体" w:eastAsia="方正小标宋简体" w:cs="方正小标宋简体"/>
                <w:b w:val="0"/>
                <w:bCs w:val="0"/>
                <w:color w:val="000000"/>
                <w:kern w:val="0"/>
                <w:sz w:val="44"/>
                <w:szCs w:val="44"/>
              </w:rPr>
              <w:t>素质拓展与劳动教育学分统计表</w:t>
            </w:r>
          </w:p>
        </w:tc>
      </w:tr>
      <w:tr>
        <w:tblPrEx>
          <w:tblCellMar>
            <w:top w:w="0" w:type="dxa"/>
            <w:left w:w="0" w:type="dxa"/>
            <w:bottom w:w="0" w:type="dxa"/>
            <w:right w:w="0" w:type="dxa"/>
          </w:tblCellMar>
        </w:tblPrEx>
        <w:trPr>
          <w:wBefore w:w="0" w:type="auto"/>
          <w:trHeight w:val="381" w:hRule="atLeast"/>
        </w:trPr>
        <w:tc>
          <w:tcPr>
            <w:tcW w:w="143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     学年第  学期</w:t>
            </w: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学院</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专业</w:t>
            </w: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班级</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姓名</w:t>
            </w: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已修学分</w:t>
            </w: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其中：劳动教育学分</w:t>
            </w: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wBefore w:w="0" w:type="auto"/>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bl>
    <w:tbl>
      <w:tblPr>
        <w:tblStyle w:val="7"/>
        <w:tblW w:w="5000" w:type="pct"/>
        <w:tblInd w:w="0" w:type="dxa"/>
        <w:tblLayout w:type="autofit"/>
        <w:tblCellMar>
          <w:top w:w="0" w:type="dxa"/>
          <w:left w:w="0" w:type="dxa"/>
          <w:bottom w:w="0" w:type="dxa"/>
          <w:right w:w="0" w:type="dxa"/>
        </w:tblCellMar>
      </w:tblPr>
      <w:tblGrid>
        <w:gridCol w:w="5431"/>
        <w:gridCol w:w="1260"/>
        <w:gridCol w:w="1453"/>
        <w:gridCol w:w="1135"/>
        <w:gridCol w:w="4471"/>
      </w:tblGrid>
      <w:tr>
        <w:tblPrEx>
          <w:tblCellMar>
            <w:top w:w="0" w:type="dxa"/>
            <w:left w:w="0" w:type="dxa"/>
            <w:bottom w:w="0" w:type="dxa"/>
            <w:right w:w="0" w:type="dxa"/>
          </w:tblCellMar>
        </w:tblPrEx>
        <w:trPr>
          <w:trHeight w:val="93" w:hRule="atLeast"/>
        </w:trPr>
        <w:tc>
          <w:tcPr>
            <w:tcW w:w="1521" w:type="pct"/>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制表人：</w:t>
            </w:r>
            <w:r>
              <w:rPr>
                <w:rFonts w:hint="eastAsia" w:ascii="宋体" w:hAnsi="宋体" w:eastAsia="宋体" w:cs="宋体"/>
                <w:color w:val="000000"/>
                <w:kern w:val="0"/>
                <w:sz w:val="22"/>
                <w:u w:val="single"/>
              </w:rPr>
              <w:t xml:space="preserve">               </w:t>
            </w:r>
          </w:p>
        </w:tc>
        <w:tc>
          <w:tcPr>
            <w:tcW w:w="353"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407"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18"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1252" w:type="pct"/>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学院领导（签章）：</w:t>
            </w:r>
            <w:r>
              <w:rPr>
                <w:rFonts w:hint="eastAsia" w:ascii="宋体" w:hAnsi="宋体" w:eastAsia="宋体" w:cs="宋体"/>
                <w:color w:val="000000"/>
                <w:kern w:val="0"/>
                <w:sz w:val="22"/>
                <w:u w:val="single"/>
              </w:rPr>
              <w:t xml:space="preserve">                   </w:t>
            </w:r>
          </w:p>
        </w:tc>
      </w:tr>
    </w:tbl>
    <w:p>
      <w:pPr>
        <w:jc w:val="left"/>
        <w:sectPr>
          <w:pgSz w:w="16838" w:h="11906" w:orient="landscape"/>
          <w:pgMar w:top="1587" w:right="1559" w:bottom="1587" w:left="1559" w:header="851" w:footer="992" w:gutter="0"/>
          <w:pgNumType w:fmt="numberInDash"/>
          <w:cols w:space="0" w:num="1"/>
          <w:docGrid w:linePitch="312" w:charSpace="0"/>
        </w:sect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sz w:val="32"/>
          <w:szCs w:val="32"/>
        </w:rPr>
      </w:pPr>
      <w:r>
        <w:rPr>
          <w:rFonts w:hint="eastAsia" w:ascii="黑体" w:hAnsi="黑体" w:eastAsia="黑体" w:cs="黑体"/>
          <w:sz w:val="32"/>
          <w:szCs w:val="32"/>
        </w:rPr>
        <w:t>附件4</w:t>
      </w:r>
    </w:p>
    <w:p>
      <w:pPr>
        <w:jc w:val="center"/>
        <w:rPr>
          <w:rFonts w:ascii="黑体" w:eastAsia="黑体"/>
          <w:sz w:val="32"/>
          <w:szCs w:val="32"/>
        </w:rPr>
      </w:pPr>
      <w:r>
        <w:rPr>
          <w:rFonts w:hint="eastAsia" w:ascii="黑体" w:eastAsia="黑体"/>
          <w:sz w:val="32"/>
          <w:szCs w:val="32"/>
        </w:rPr>
        <w:t>福州理工学院学生学业预警告知书</w:t>
      </w:r>
    </w:p>
    <w:p>
      <w:pPr>
        <w:jc w:val="center"/>
        <w:rPr>
          <w:szCs w:val="21"/>
        </w:rPr>
      </w:pPr>
    </w:p>
    <w:p>
      <w:pPr>
        <w:spacing w:line="520" w:lineRule="exact"/>
        <w:ind w:right="-178" w:rightChars="-85"/>
        <w:rPr>
          <w:rFonts w:ascii="楷体" w:hAnsi="楷体" w:eastAsia="楷体"/>
          <w:sz w:val="24"/>
        </w:rPr>
      </w:pPr>
      <w:r>
        <w:rPr>
          <w:rFonts w:hint="eastAsia" w:ascii="楷体" w:hAnsi="楷体" w:eastAsia="楷体" w:cs="宋体"/>
          <w:sz w:val="24"/>
          <w:lang w:val="zh-CN"/>
        </w:rPr>
        <w:t>＿＿＿＿</w:t>
      </w:r>
      <w:r>
        <w:rPr>
          <w:rFonts w:hint="eastAsia" w:ascii="楷体" w:hAnsi="楷体" w:eastAsia="楷体"/>
          <w:sz w:val="24"/>
        </w:rPr>
        <w:softHyphen/>
      </w:r>
      <w:r>
        <w:rPr>
          <w:rFonts w:hint="eastAsia" w:ascii="楷体" w:hAnsi="楷体" w:eastAsia="楷体" w:cs="宋体"/>
          <w:sz w:val="24"/>
          <w:lang w:val="zh-CN"/>
        </w:rPr>
        <w:t>＿＿同学（学号：</w:t>
      </w:r>
      <w:r>
        <w:rPr>
          <w:rFonts w:hint="eastAsia" w:ascii="楷体" w:hAnsi="楷体" w:eastAsia="楷体" w:cs="宋体"/>
          <w:sz w:val="24"/>
        </w:rPr>
        <w:t xml:space="preserve">        </w:t>
      </w:r>
      <w:r>
        <w:rPr>
          <w:rFonts w:hint="eastAsia" w:ascii="楷体" w:hAnsi="楷体" w:eastAsia="楷体" w:cs="宋体"/>
          <w:sz w:val="24"/>
          <w:lang w:val="zh-CN"/>
        </w:rPr>
        <w:t>）：</w:t>
      </w:r>
    </w:p>
    <w:p>
      <w:pPr>
        <w:spacing w:line="460" w:lineRule="atLeast"/>
        <w:ind w:firstLine="480" w:firstLineChars="200"/>
        <w:rPr>
          <w:rFonts w:ascii="楷体" w:hAnsi="楷体" w:eastAsia="楷体"/>
          <w:sz w:val="24"/>
        </w:rPr>
      </w:pPr>
      <w:r>
        <w:rPr>
          <w:rFonts w:hint="eastAsia" w:ascii="楷体" w:hAnsi="楷体" w:eastAsia="楷体" w:cs="宋体"/>
          <w:sz w:val="24"/>
          <w:lang w:val="zh-CN"/>
        </w:rPr>
        <w:t>你在＿＿＿＿＿＿＿学年第</w:t>
      </w:r>
      <w:r>
        <w:rPr>
          <w:rFonts w:hint="eastAsia" w:ascii="楷体" w:hAnsi="楷体" w:eastAsia="楷体"/>
          <w:sz w:val="24"/>
        </w:rPr>
        <w:t xml:space="preserve"> </w:t>
      </w:r>
      <w:r>
        <w:rPr>
          <w:rFonts w:hint="eastAsia" w:ascii="楷体" w:hAnsi="楷体" w:eastAsia="楷体" w:cs="宋体"/>
          <w:sz w:val="24"/>
          <w:lang w:val="zh-CN"/>
        </w:rPr>
        <w:t>＿</w:t>
      </w:r>
      <w:r>
        <w:rPr>
          <w:rFonts w:hint="eastAsia" w:ascii="楷体" w:hAnsi="楷体" w:eastAsia="楷体"/>
          <w:sz w:val="24"/>
        </w:rPr>
        <w:t xml:space="preserve"> </w:t>
      </w:r>
      <w:r>
        <w:rPr>
          <w:rFonts w:hint="eastAsia" w:ascii="楷体" w:hAnsi="楷体" w:eastAsia="楷体" w:cs="宋体"/>
          <w:sz w:val="24"/>
          <w:lang w:val="zh-CN"/>
        </w:rPr>
        <w:t>学期结束后，经审查，具有如下情况：</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□（一）在校累积欠必修课总分达到</w:t>
      </w:r>
      <w:r>
        <w:rPr>
          <w:rFonts w:hint="eastAsia" w:ascii="楷体" w:hAnsi="楷体" w:eastAsia="楷体" w:cs="宋体"/>
          <w:sz w:val="24"/>
        </w:rPr>
        <w:t>10</w:t>
      </w:r>
      <w:r>
        <w:rPr>
          <w:rFonts w:hint="eastAsia" w:ascii="楷体" w:hAnsi="楷体" w:eastAsia="楷体" w:cs="宋体"/>
          <w:sz w:val="24"/>
          <w:lang w:val="zh-CN"/>
        </w:rPr>
        <w:t>学分以上不超过</w:t>
      </w:r>
      <w:r>
        <w:rPr>
          <w:rFonts w:hint="eastAsia" w:ascii="楷体" w:hAnsi="楷体" w:eastAsia="楷体" w:cs="宋体"/>
          <w:sz w:val="24"/>
        </w:rPr>
        <w:t>25</w:t>
      </w:r>
      <w:r>
        <w:rPr>
          <w:rFonts w:hint="eastAsia" w:ascii="楷体" w:hAnsi="楷体" w:eastAsia="楷体" w:cs="宋体"/>
          <w:sz w:val="24"/>
          <w:lang w:val="zh-CN"/>
        </w:rPr>
        <w:t>学分（含25学分）；</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□（二）在校累积欠必修课总分达到</w:t>
      </w:r>
      <w:r>
        <w:rPr>
          <w:rFonts w:hint="eastAsia" w:ascii="楷体" w:hAnsi="楷体" w:eastAsia="楷体" w:cs="宋体"/>
          <w:sz w:val="24"/>
        </w:rPr>
        <w:t>25</w:t>
      </w:r>
      <w:r>
        <w:rPr>
          <w:rFonts w:hint="eastAsia" w:ascii="楷体" w:hAnsi="楷体" w:eastAsia="楷体" w:cs="宋体"/>
          <w:sz w:val="24"/>
          <w:lang w:val="zh-CN"/>
        </w:rPr>
        <w:t>学分以上不超过</w:t>
      </w:r>
      <w:r>
        <w:rPr>
          <w:rFonts w:hint="eastAsia" w:ascii="楷体" w:hAnsi="楷体" w:eastAsia="楷体" w:cs="宋体"/>
          <w:sz w:val="24"/>
        </w:rPr>
        <w:t>40</w:t>
      </w:r>
      <w:r>
        <w:rPr>
          <w:rFonts w:hint="eastAsia" w:ascii="楷体" w:hAnsi="楷体" w:eastAsia="楷体" w:cs="宋体"/>
          <w:sz w:val="24"/>
          <w:lang w:val="zh-CN"/>
        </w:rPr>
        <w:t>学分（含</w:t>
      </w:r>
      <w:r>
        <w:rPr>
          <w:rFonts w:hint="eastAsia" w:ascii="楷体" w:hAnsi="楷体" w:eastAsia="楷体" w:cs="宋体"/>
          <w:sz w:val="24"/>
        </w:rPr>
        <w:t>40学分</w:t>
      </w:r>
      <w:r>
        <w:rPr>
          <w:rFonts w:hint="eastAsia" w:ascii="楷体" w:hAnsi="楷体" w:eastAsia="楷体" w:cs="宋体"/>
          <w:sz w:val="24"/>
          <w:lang w:val="zh-CN"/>
        </w:rPr>
        <w:t>）；</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□（三）在校累积欠必修课总分达到</w:t>
      </w:r>
      <w:r>
        <w:rPr>
          <w:rFonts w:hint="eastAsia" w:ascii="楷体" w:hAnsi="楷体" w:eastAsia="楷体" w:cs="宋体"/>
          <w:sz w:val="24"/>
        </w:rPr>
        <w:t>40</w:t>
      </w:r>
      <w:r>
        <w:rPr>
          <w:rFonts w:hint="eastAsia" w:ascii="楷体" w:hAnsi="楷体" w:eastAsia="楷体" w:cs="宋体"/>
          <w:sz w:val="24"/>
          <w:lang w:val="zh-CN"/>
        </w:rPr>
        <w:t>学分以上；</w:t>
      </w:r>
    </w:p>
    <w:p>
      <w:pPr>
        <w:spacing w:line="460" w:lineRule="exact"/>
        <w:ind w:firstLine="533" w:firstLineChars="196"/>
        <w:rPr>
          <w:rFonts w:ascii="楷体" w:hAnsi="楷体" w:eastAsia="楷体" w:cs="宋体"/>
          <w:spacing w:val="16"/>
          <w:sz w:val="24"/>
          <w:lang w:val="zh-CN"/>
        </w:rPr>
      </w:pPr>
      <w:r>
        <w:rPr>
          <w:rFonts w:hint="eastAsia" w:ascii="楷体" w:hAnsi="楷体" w:eastAsia="楷体" w:cs="宋体"/>
          <w:spacing w:val="16"/>
          <w:sz w:val="24"/>
          <w:lang w:val="zh-CN"/>
        </w:rPr>
        <w:t>特给予</w:t>
      </w:r>
      <w:r>
        <w:rPr>
          <w:rFonts w:hint="eastAsia" w:ascii="楷体" w:hAnsi="楷体" w:eastAsia="楷体" w:cs="宋体"/>
          <w:spacing w:val="16"/>
          <w:sz w:val="24"/>
          <w:u w:val="single"/>
          <w:lang w:val="zh-CN"/>
        </w:rPr>
        <w:t xml:space="preserve">        </w:t>
      </w:r>
      <w:r>
        <w:rPr>
          <w:rFonts w:hint="eastAsia" w:ascii="楷体" w:hAnsi="楷体" w:eastAsia="楷体" w:cs="宋体"/>
          <w:spacing w:val="16"/>
          <w:sz w:val="24"/>
          <w:lang w:val="zh-CN"/>
        </w:rPr>
        <w:t>学业预警</w:t>
      </w:r>
    </w:p>
    <w:p>
      <w:pPr>
        <w:spacing w:line="460" w:lineRule="exact"/>
        <w:ind w:firstLine="533" w:firstLineChars="196"/>
        <w:rPr>
          <w:rFonts w:ascii="楷体" w:hAnsi="楷体" w:eastAsia="楷体"/>
          <w:spacing w:val="16"/>
          <w:sz w:val="24"/>
        </w:rPr>
      </w:pPr>
      <w:r>
        <w:rPr>
          <w:rFonts w:hint="eastAsia" w:ascii="楷体" w:hAnsi="楷体" w:eastAsia="楷体" w:cs="宋体"/>
          <w:spacing w:val="16"/>
          <w:sz w:val="24"/>
          <w:lang w:val="zh-CN"/>
        </w:rPr>
        <w:t>如此类情况不能及时消除，您将有可能因此无法顺利圆满地完成学业，请给予高度重视。</w:t>
      </w:r>
    </w:p>
    <w:p>
      <w:pPr>
        <w:spacing w:line="460" w:lineRule="exact"/>
        <w:ind w:firstLine="533" w:firstLineChars="196"/>
        <w:rPr>
          <w:rFonts w:ascii="楷体" w:hAnsi="楷体" w:eastAsia="楷体"/>
          <w:spacing w:val="16"/>
          <w:sz w:val="24"/>
        </w:rPr>
      </w:pPr>
      <w:r>
        <w:rPr>
          <w:rFonts w:hint="eastAsia" w:ascii="楷体" w:hAnsi="楷体" w:eastAsia="楷体" w:cs="宋体"/>
          <w:spacing w:val="16"/>
          <w:sz w:val="24"/>
          <w:lang w:val="zh-CN"/>
        </w:rPr>
        <w:t>如有任何疑问和困难，请及时与所在学院、教务处取得联系。</w:t>
      </w:r>
    </w:p>
    <w:p>
      <w:pPr>
        <w:spacing w:line="460" w:lineRule="exact"/>
        <w:ind w:right="953" w:firstLine="570"/>
        <w:jc w:val="right"/>
        <w:outlineLvl w:val="0"/>
        <w:rPr>
          <w:rFonts w:ascii="楷体" w:hAnsi="楷体" w:eastAsia="楷体" w:cs="宋体"/>
          <w:spacing w:val="16"/>
          <w:sz w:val="24"/>
          <w:lang w:val="zh-CN"/>
        </w:rPr>
      </w:pPr>
    </w:p>
    <w:p>
      <w:pPr>
        <w:spacing w:line="460" w:lineRule="exact"/>
        <w:ind w:right="1497" w:firstLine="570"/>
        <w:jc w:val="right"/>
        <w:outlineLvl w:val="0"/>
        <w:rPr>
          <w:rFonts w:ascii="楷体" w:hAnsi="楷体" w:eastAsia="楷体" w:cs="宋体"/>
          <w:spacing w:val="16"/>
          <w:sz w:val="24"/>
          <w:lang w:val="zh-CN"/>
        </w:rPr>
      </w:pPr>
      <w:r>
        <w:rPr>
          <w:rFonts w:hint="eastAsia" w:ascii="楷体" w:hAnsi="楷体" w:eastAsia="楷体" w:cs="宋体"/>
          <w:spacing w:val="16"/>
          <w:sz w:val="24"/>
          <w:lang w:val="zh-CN"/>
        </w:rPr>
        <w:t>学院盖章</w:t>
      </w:r>
      <w:r>
        <w:rPr>
          <w:rFonts w:ascii="楷体" w:hAnsi="楷体" w:eastAsia="楷体" w:cs="宋体"/>
          <w:spacing w:val="16"/>
          <w:sz w:val="24"/>
          <w:lang w:val="zh-CN"/>
        </w:rPr>
        <w:t xml:space="preserve"> </w:t>
      </w:r>
    </w:p>
    <w:p>
      <w:pPr>
        <w:spacing w:line="460" w:lineRule="exact"/>
        <w:ind w:right="953" w:firstLine="570"/>
        <w:jc w:val="right"/>
        <w:rPr>
          <w:rFonts w:ascii="楷体" w:hAnsi="楷体" w:eastAsia="楷体" w:cs="宋体"/>
          <w:spacing w:val="16"/>
          <w:sz w:val="24"/>
          <w:lang w:val="zh-CN"/>
        </w:rPr>
      </w:pPr>
      <w:r>
        <w:rPr>
          <w:rFonts w:hint="eastAsia" w:ascii="楷体" w:hAnsi="楷体" w:eastAsia="楷体" w:cs="宋体"/>
          <w:spacing w:val="16"/>
          <w:sz w:val="24"/>
          <w:lang w:val="zh-CN"/>
        </w:rPr>
        <w:t>年    月    日</w:t>
      </w:r>
    </w:p>
    <w:p>
      <w:pPr>
        <w:ind w:right="953" w:firstLine="570"/>
        <w:jc w:val="right"/>
        <w:rPr>
          <w:rFonts w:cs="宋体"/>
          <w:b/>
          <w:spacing w:val="16"/>
          <w:sz w:val="24"/>
          <w:lang w:val="zh-CN"/>
        </w:rPr>
      </w:pPr>
    </w:p>
    <w:p>
      <w:pPr>
        <w:autoSpaceDE w:val="0"/>
        <w:autoSpaceDN w:val="0"/>
        <w:adjustRightInd w:val="0"/>
        <w:rPr>
          <w:sz w:val="28"/>
          <w:szCs w:val="28"/>
        </w:rPr>
      </w:pPr>
      <w:r>
        <w:rPr>
          <w:sz w:val="28"/>
          <w:szCs w:val="28"/>
        </w:rPr>
        <w:t>…………………………………………………………………………………</w:t>
      </w:r>
    </w:p>
    <w:p>
      <w:pPr>
        <w:ind w:right="600"/>
        <w:rPr>
          <w:rFonts w:cs="宋体"/>
          <w:b/>
          <w:spacing w:val="16"/>
          <w:sz w:val="24"/>
          <w:lang w:val="zh-CN"/>
        </w:rPr>
      </w:pPr>
    </w:p>
    <w:p>
      <w:pPr>
        <w:jc w:val="center"/>
        <w:rPr>
          <w:rFonts w:ascii="黑体" w:eastAsia="黑体"/>
          <w:sz w:val="32"/>
          <w:szCs w:val="32"/>
        </w:rPr>
      </w:pPr>
      <w:r>
        <w:rPr>
          <w:rFonts w:hint="eastAsia" w:ascii="黑体" w:eastAsia="黑体"/>
          <w:sz w:val="32"/>
          <w:szCs w:val="32"/>
        </w:rPr>
        <w:t>福州理工学院学生学业预警告知书存根（二级学院留存）</w:t>
      </w:r>
    </w:p>
    <w:p>
      <w:pPr>
        <w:spacing w:line="600" w:lineRule="exact"/>
        <w:rPr>
          <w:sz w:val="24"/>
        </w:rPr>
      </w:pPr>
    </w:p>
    <w:p>
      <w:pPr>
        <w:spacing w:line="600" w:lineRule="exact"/>
        <w:rPr>
          <w:rFonts w:ascii="楷体_GB2312" w:eastAsia="楷体_GB2312" w:cs="宋体"/>
          <w:sz w:val="24"/>
          <w:lang w:val="zh-CN"/>
        </w:rPr>
      </w:pPr>
      <w:r>
        <w:rPr>
          <w:rFonts w:hint="eastAsia"/>
          <w:sz w:val="24"/>
        </w:rPr>
        <w:t xml:space="preserve">     </w:t>
      </w:r>
      <w:r>
        <w:rPr>
          <w:rFonts w:hint="eastAsia" w:ascii="楷体_GB2312" w:eastAsia="楷体_GB2312" w:cs="宋体"/>
          <w:sz w:val="24"/>
          <w:lang w:val="zh-CN"/>
        </w:rPr>
        <w:t>＿＿＿＿＿</w:t>
      </w:r>
      <w:r>
        <w:rPr>
          <w:rFonts w:hint="eastAsia" w:ascii="楷体_GB2312" w:eastAsia="楷体_GB2312"/>
          <w:sz w:val="24"/>
        </w:rPr>
        <w:t>同学</w:t>
      </w:r>
      <w:r>
        <w:rPr>
          <w:rFonts w:hint="eastAsia" w:ascii="楷体_GB2312" w:eastAsia="楷体_GB2312" w:cs="宋体"/>
          <w:sz w:val="24"/>
          <w:lang w:val="zh-CN"/>
        </w:rPr>
        <w:t>，学号＿＿＿＿＿，班级＿＿＿＿＿＿  于＿＿＿—＿＿＿学年第＿＿学期结束后，你有＿＿＿＿＿＿＿＿＿＿＿＿＿＿＿＿＿＿＿＿＿＿＿＿＿＿＿＿＿＿＿＿＿＿＿＿＿＿＿＿＿＿＿情况，特进行</w:t>
      </w:r>
      <w:r>
        <w:rPr>
          <w:rFonts w:hint="eastAsia" w:ascii="楷体" w:hAnsi="楷体" w:eastAsia="楷体" w:cs="宋体"/>
          <w:spacing w:val="16"/>
          <w:sz w:val="24"/>
          <w:u w:val="single"/>
          <w:lang w:val="zh-CN"/>
        </w:rPr>
        <w:t xml:space="preserve">        </w:t>
      </w:r>
      <w:r>
        <w:rPr>
          <w:rFonts w:hint="eastAsia" w:ascii="楷体" w:hAnsi="楷体" w:eastAsia="楷体" w:cs="宋体"/>
          <w:spacing w:val="16"/>
          <w:sz w:val="24"/>
          <w:lang w:val="zh-CN"/>
        </w:rPr>
        <w:t>学业预警</w:t>
      </w:r>
      <w:r>
        <w:rPr>
          <w:rFonts w:hint="eastAsia" w:ascii="楷体_GB2312" w:eastAsia="楷体_GB2312" w:cs="宋体"/>
          <w:sz w:val="24"/>
          <w:lang w:val="zh-CN"/>
        </w:rPr>
        <w:t>，请高度重视，以免影响毕业。</w:t>
      </w:r>
    </w:p>
    <w:p>
      <w:pPr>
        <w:spacing w:line="600" w:lineRule="exact"/>
        <w:rPr>
          <w:rFonts w:ascii="楷体_GB2312" w:eastAsia="楷体_GB2312" w:cs="宋体"/>
          <w:sz w:val="24"/>
          <w:lang w:val="zh-CN"/>
        </w:rPr>
      </w:pPr>
    </w:p>
    <w:p>
      <w:pPr>
        <w:spacing w:line="600" w:lineRule="exact"/>
        <w:ind w:left="-718" w:leftChars="-342" w:right="-540" w:rightChars="-257" w:firstLine="5928" w:firstLineChars="2470"/>
        <w:rPr>
          <w:rFonts w:ascii="楷体_GB2312" w:eastAsia="楷体_GB2312" w:cs="宋体"/>
          <w:sz w:val="24"/>
          <w:lang w:val="zh-CN"/>
        </w:rPr>
      </w:pPr>
      <w:r>
        <w:rPr>
          <w:rFonts w:hint="eastAsia" w:ascii="楷体_GB2312" w:eastAsia="楷体_GB2312" w:cs="宋体"/>
          <w:sz w:val="24"/>
          <w:lang w:val="zh-CN"/>
        </w:rPr>
        <w:t>学生本人签字：＿＿＿＿＿＿＿</w:t>
      </w:r>
    </w:p>
    <w:p>
      <w:pPr>
        <w:spacing w:line="600" w:lineRule="exact"/>
        <w:ind w:left="-718" w:leftChars="-342" w:right="-540" w:rightChars="-257" w:firstLine="5928" w:firstLineChars="2470"/>
        <w:rPr>
          <w:rFonts w:ascii="楷体_GB2312" w:eastAsia="楷体_GB2312"/>
          <w:sz w:val="24"/>
          <w:u w:val="single"/>
        </w:rPr>
      </w:pPr>
      <w:r>
        <w:rPr>
          <w:rFonts w:hint="eastAsia" w:ascii="楷体_GB2312" w:eastAsia="楷体_GB2312" w:cs="宋体"/>
          <w:sz w:val="24"/>
          <w:lang w:val="zh-CN"/>
        </w:rPr>
        <w:t>家长签字：＿＿＿＿＿＿＿（可传真）</w:t>
      </w:r>
    </w:p>
    <w:p>
      <w:pPr>
        <w:spacing w:line="600" w:lineRule="exact"/>
        <w:ind w:left="-718" w:leftChars="-342" w:right="-540" w:rightChars="-257" w:firstLine="410" w:firstLineChars="171"/>
        <w:rPr>
          <w:sz w:val="24"/>
        </w:rPr>
      </w:pPr>
      <w:r>
        <w:rPr>
          <w:rFonts w:hint="eastAsia" w:ascii="楷体_GB2312" w:eastAsia="楷体_GB2312"/>
          <w:sz w:val="24"/>
        </w:rPr>
        <w:t xml:space="preserve">                                                    年      月      日</w:t>
      </w:r>
    </w:p>
    <w:p>
      <w:pPr>
        <w:spacing w:beforeLines="50" w:afterLines="50"/>
        <w:jc w:val="left"/>
        <w:rPr>
          <w:rFonts w:hint="eastAsia" w:ascii="黑体" w:hAnsi="黑体" w:eastAsia="黑体" w:cs="黑体"/>
          <w:sz w:val="32"/>
          <w:szCs w:val="32"/>
        </w:rPr>
      </w:pPr>
      <w:r>
        <w:rPr>
          <w:rFonts w:hint="eastAsia" w:ascii="黑体" w:hAnsi="黑体" w:eastAsia="黑体" w:cs="黑体"/>
          <w:sz w:val="32"/>
          <w:szCs w:val="32"/>
        </w:rPr>
        <w:t>附件5</w:t>
      </w:r>
    </w:p>
    <w:p>
      <w:pPr>
        <w:spacing w:beforeLines="50" w:afterLines="50"/>
        <w:jc w:val="center"/>
        <w:rPr>
          <w:rFonts w:eastAsia="黑体"/>
          <w:sz w:val="32"/>
          <w:szCs w:val="32"/>
        </w:rPr>
      </w:pPr>
      <w:r>
        <w:rPr>
          <w:rFonts w:hint="eastAsia" w:eastAsia="黑体"/>
          <w:sz w:val="32"/>
          <w:szCs w:val="32"/>
        </w:rPr>
        <w:t>福州理工学院学业预警（留级、肄业退学）处理报告表</w:t>
      </w:r>
    </w:p>
    <w:p>
      <w:pPr>
        <w:spacing w:beforeLines="100" w:afterLines="100" w:line="300" w:lineRule="auto"/>
        <w:ind w:firstLine="980" w:firstLineChars="350"/>
        <w:rPr>
          <w:rFonts w:eastAsia="楷体_GB2312"/>
          <w:sz w:val="28"/>
          <w:szCs w:val="28"/>
        </w:rPr>
      </w:pPr>
      <w:r>
        <w:rPr>
          <w:rFonts w:hint="eastAsia" w:eastAsia="楷体_GB2312"/>
          <w:sz w:val="28"/>
          <w:szCs w:val="28"/>
        </w:rPr>
        <w:t>学院</w:t>
      </w:r>
      <w:r>
        <w:rPr>
          <w:rFonts w:hint="eastAsia" w:eastAsia="楷体_GB2312"/>
          <w:sz w:val="28"/>
          <w:szCs w:val="28"/>
          <w:u w:val="single"/>
        </w:rPr>
        <w:t xml:space="preserve">                    </w:t>
      </w:r>
      <w:r>
        <w:rPr>
          <w:rFonts w:hint="eastAsia" w:eastAsia="楷体_GB2312"/>
          <w:sz w:val="28"/>
          <w:szCs w:val="28"/>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70"/>
        <w:gridCol w:w="735"/>
        <w:gridCol w:w="1365"/>
        <w:gridCol w:w="735"/>
        <w:gridCol w:w="2100"/>
        <w:gridCol w:w="735"/>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38" w:type="dxa"/>
            <w:vAlign w:val="center"/>
          </w:tcPr>
          <w:p>
            <w:pPr>
              <w:rPr>
                <w:rFonts w:ascii="楷体" w:hAnsi="楷体" w:eastAsia="楷体"/>
                <w:sz w:val="24"/>
                <w:szCs w:val="24"/>
              </w:rPr>
            </w:pPr>
            <w:r>
              <w:rPr>
                <w:rFonts w:hint="eastAsia" w:ascii="楷体" w:hAnsi="楷体" w:eastAsia="楷体"/>
                <w:sz w:val="24"/>
                <w:szCs w:val="24"/>
              </w:rPr>
              <w:t>姓名</w:t>
            </w:r>
          </w:p>
        </w:tc>
        <w:tc>
          <w:tcPr>
            <w:tcW w:w="1470"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学号</w:t>
            </w:r>
          </w:p>
        </w:tc>
        <w:tc>
          <w:tcPr>
            <w:tcW w:w="1365"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专业</w:t>
            </w:r>
          </w:p>
        </w:tc>
        <w:tc>
          <w:tcPr>
            <w:tcW w:w="2100"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年级</w:t>
            </w:r>
          </w:p>
        </w:tc>
        <w:tc>
          <w:tcPr>
            <w:tcW w:w="843" w:type="dxa"/>
            <w:tcBorders>
              <w:bottom w:val="single" w:color="auto" w:sz="4" w:space="0"/>
            </w:tcBorders>
            <w:vAlign w:val="center"/>
          </w:tcPr>
          <w:p>
            <w:pPr>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5"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处</w:t>
            </w:r>
          </w:p>
          <w:p>
            <w:pPr>
              <w:jc w:val="center"/>
              <w:rPr>
                <w:rFonts w:ascii="楷体" w:hAnsi="楷体" w:eastAsia="楷体"/>
                <w:sz w:val="24"/>
                <w:szCs w:val="24"/>
              </w:rPr>
            </w:pPr>
            <w:r>
              <w:rPr>
                <w:rFonts w:hint="eastAsia" w:ascii="楷体" w:hAnsi="楷体" w:eastAsia="楷体"/>
                <w:sz w:val="24"/>
                <w:szCs w:val="24"/>
              </w:rPr>
              <w:t>理</w:t>
            </w:r>
          </w:p>
          <w:p>
            <w:pPr>
              <w:jc w:val="center"/>
              <w:rPr>
                <w:rFonts w:ascii="楷体" w:hAnsi="楷体" w:eastAsia="楷体"/>
                <w:sz w:val="24"/>
                <w:szCs w:val="24"/>
              </w:rPr>
            </w:pPr>
            <w:r>
              <w:rPr>
                <w:rFonts w:hint="eastAsia" w:ascii="楷体" w:hAnsi="楷体" w:eastAsia="楷体"/>
                <w:sz w:val="24"/>
                <w:szCs w:val="24"/>
              </w:rPr>
              <w:t>原</w:t>
            </w:r>
          </w:p>
          <w:p>
            <w:pPr>
              <w:jc w:val="center"/>
              <w:rPr>
                <w:rFonts w:ascii="楷体" w:hAnsi="楷体" w:eastAsia="楷体"/>
                <w:sz w:val="24"/>
                <w:szCs w:val="24"/>
              </w:rPr>
            </w:pPr>
            <w:r>
              <w:rPr>
                <w:rFonts w:hint="eastAsia" w:ascii="楷体" w:hAnsi="楷体" w:eastAsia="楷体"/>
                <w:sz w:val="24"/>
                <w:szCs w:val="24"/>
              </w:rPr>
              <w:t>因</w:t>
            </w:r>
          </w:p>
        </w:tc>
        <w:tc>
          <w:tcPr>
            <w:tcW w:w="7983" w:type="dxa"/>
            <w:gridSpan w:val="7"/>
          </w:tcPr>
          <w:p>
            <w:pPr>
              <w:widowControl/>
              <w:rPr>
                <w:rFonts w:ascii="楷体" w:hAnsi="楷体" w:eastAsia="楷体" w:cs="宋体"/>
                <w:kern w:val="0"/>
                <w:sz w:val="24"/>
                <w:szCs w:val="24"/>
              </w:rPr>
            </w:pPr>
            <w:r>
              <w:rPr>
                <w:rFonts w:hint="eastAsia" w:ascii="楷体" w:hAnsi="楷体" w:eastAsia="楷体" w:cs="宋体"/>
                <w:kern w:val="0"/>
                <w:sz w:val="24"/>
                <w:szCs w:val="24"/>
              </w:rPr>
              <w:t>（请选择并在□内打钩）</w:t>
            </w:r>
          </w:p>
          <w:p>
            <w:pPr>
              <w:pStyle w:val="4"/>
              <w:snapToGrid w:val="0"/>
              <w:spacing w:before="0" w:beforeAutospacing="0" w:after="0" w:afterAutospacing="0" w:line="360" w:lineRule="auto"/>
              <w:rPr>
                <w:rFonts w:ascii="楷体" w:hAnsi="楷体" w:eastAsia="楷体"/>
              </w:rPr>
            </w:pPr>
            <w:r>
              <w:rPr>
                <w:rFonts w:hint="eastAsia" w:ascii="楷体" w:hAnsi="楷体" w:eastAsia="楷体"/>
              </w:rPr>
              <w:t>□ 在校期间累积欠必修课学分</w:t>
            </w:r>
            <w:r>
              <w:rPr>
                <w:rFonts w:hint="eastAsia" w:ascii="楷体" w:hAnsi="楷体" w:eastAsia="楷体"/>
                <w:lang w:eastAsia="zh-CN"/>
              </w:rPr>
              <w:t>超过25学分</w:t>
            </w:r>
            <w:r>
              <w:rPr>
                <w:rFonts w:hint="eastAsia" w:ascii="楷体" w:hAnsi="楷体" w:eastAsia="楷体"/>
                <w:lang w:val="zh-CN"/>
              </w:rPr>
              <w:t>不超过</w:t>
            </w:r>
            <w:r>
              <w:rPr>
                <w:rFonts w:hint="eastAsia" w:ascii="楷体" w:hAnsi="楷体" w:eastAsia="楷体"/>
              </w:rPr>
              <w:t>40</w:t>
            </w:r>
            <w:r>
              <w:rPr>
                <w:rFonts w:hint="eastAsia" w:ascii="楷体" w:hAnsi="楷体" w:eastAsia="楷体"/>
                <w:lang w:val="zh-CN"/>
              </w:rPr>
              <w:t>学分（含</w:t>
            </w:r>
            <w:r>
              <w:rPr>
                <w:rFonts w:hint="eastAsia" w:ascii="楷体" w:hAnsi="楷体" w:eastAsia="楷体"/>
              </w:rPr>
              <w:t>40学分</w:t>
            </w:r>
            <w:r>
              <w:rPr>
                <w:rFonts w:hint="eastAsia" w:ascii="楷体" w:hAnsi="楷体" w:eastAsia="楷体"/>
                <w:lang w:val="zh-CN"/>
              </w:rPr>
              <w:t>）</w:t>
            </w:r>
            <w:r>
              <w:rPr>
                <w:rFonts w:hint="eastAsia" w:ascii="楷体" w:hAnsi="楷体" w:eastAsia="楷体"/>
              </w:rPr>
              <w:t>；</w:t>
            </w: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□在校累积欠必修课总分达到</w:t>
            </w:r>
            <w:r>
              <w:rPr>
                <w:rFonts w:hint="eastAsia" w:ascii="楷体" w:hAnsi="楷体" w:eastAsia="楷体"/>
              </w:rPr>
              <w:t>40</w:t>
            </w:r>
            <w:r>
              <w:rPr>
                <w:rFonts w:hint="eastAsia" w:ascii="楷体" w:hAnsi="楷体" w:eastAsia="楷体"/>
                <w:lang w:val="zh-CN"/>
              </w:rPr>
              <w:t>学分以上</w:t>
            </w:r>
            <w:r>
              <w:rPr>
                <w:rFonts w:hint="eastAsia" w:ascii="楷体" w:hAnsi="楷体" w:eastAsia="楷体"/>
              </w:rPr>
              <w:t>。</w:t>
            </w:r>
          </w:p>
          <w:p>
            <w:pPr>
              <w:pStyle w:val="4"/>
              <w:snapToGrid w:val="0"/>
              <w:spacing w:before="0" w:beforeAutospacing="0" w:after="0" w:afterAutospacing="0" w:line="360" w:lineRule="auto"/>
              <w:rPr>
                <w:rFonts w:ascii="楷体" w:hAnsi="楷体" w:eastAsia="楷体"/>
              </w:rPr>
            </w:pPr>
          </w:p>
          <w:p>
            <w:pPr>
              <w:pStyle w:val="4"/>
              <w:snapToGrid w:val="0"/>
              <w:spacing w:line="360" w:lineRule="auto"/>
              <w:rPr>
                <w:rFonts w:ascii="楷体" w:hAnsi="楷体" w:eastAsia="楷体"/>
              </w:rPr>
            </w:pPr>
            <w:r>
              <w:rPr>
                <w:rFonts w:hint="eastAsia" w:ascii="楷体" w:hAnsi="楷体" w:eastAsia="楷体"/>
              </w:rPr>
              <w:t xml:space="preserve">学生本人签名：           教学秘书签名：           年  月  日  </w:t>
            </w:r>
          </w:p>
          <w:p>
            <w:pPr>
              <w:pStyle w:val="4"/>
              <w:snapToGrid w:val="0"/>
              <w:spacing w:line="360" w:lineRule="auto"/>
              <w:rPr>
                <w:rFonts w:ascii="楷体" w:hAnsi="楷体" w:eastAsia="楷体"/>
              </w:rPr>
            </w:pPr>
            <w:r>
              <w:rPr>
                <w:rFonts w:hint="eastAsia" w:ascii="楷体" w:hAnsi="楷体" w:eastAsia="楷体"/>
              </w:rPr>
              <w:t>家长签名：</w:t>
            </w:r>
          </w:p>
          <w:p>
            <w:pPr>
              <w:pStyle w:val="4"/>
              <w:snapToGrid w:val="0"/>
              <w:spacing w:line="360" w:lineRule="auto"/>
              <w:rPr>
                <w:rFonts w:ascii="楷体" w:hAnsi="楷体" w:eastAsia="楷体"/>
              </w:rPr>
            </w:pPr>
            <w:r>
              <w:rPr>
                <w:rFonts w:hint="eastAsia" w:ascii="楷体" w:hAnsi="楷体" w:eastAsia="楷体"/>
              </w:rPr>
              <w:t>学生/家长联系电话：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4" w:hRule="atLeast"/>
          <w:jc w:val="center"/>
        </w:trPr>
        <w:tc>
          <w:tcPr>
            <w:tcW w:w="738" w:type="dxa"/>
            <w:vAlign w:val="center"/>
          </w:tcPr>
          <w:p>
            <w:pPr>
              <w:ind w:left="120" w:hanging="120" w:hangingChars="50"/>
              <w:jc w:val="center"/>
              <w:rPr>
                <w:rFonts w:ascii="楷体" w:hAnsi="楷体" w:eastAsia="楷体"/>
                <w:sz w:val="24"/>
                <w:szCs w:val="24"/>
              </w:rPr>
            </w:pPr>
            <w:r>
              <w:rPr>
                <w:rFonts w:hint="eastAsia" w:ascii="楷体" w:hAnsi="楷体" w:eastAsia="楷体"/>
                <w:sz w:val="24"/>
                <w:szCs w:val="24"/>
              </w:rPr>
              <w:t>学</w:t>
            </w:r>
          </w:p>
          <w:p>
            <w:pPr>
              <w:ind w:left="120" w:hanging="120" w:hangingChars="50"/>
              <w:jc w:val="center"/>
              <w:rPr>
                <w:rFonts w:ascii="楷体" w:hAnsi="楷体" w:eastAsia="楷体"/>
                <w:sz w:val="24"/>
                <w:szCs w:val="24"/>
              </w:rPr>
            </w:pPr>
            <w:r>
              <w:rPr>
                <w:rFonts w:hint="eastAsia" w:ascii="楷体" w:hAnsi="楷体" w:eastAsia="楷体"/>
                <w:sz w:val="24"/>
                <w:szCs w:val="24"/>
              </w:rPr>
              <w:t>院</w:t>
            </w:r>
          </w:p>
          <w:p>
            <w:pPr>
              <w:ind w:left="120" w:hanging="120" w:hangingChars="50"/>
              <w:jc w:val="center"/>
              <w:rPr>
                <w:rFonts w:ascii="楷体" w:hAnsi="楷体" w:eastAsia="楷体"/>
                <w:sz w:val="24"/>
                <w:szCs w:val="24"/>
              </w:rPr>
            </w:pPr>
            <w:r>
              <w:rPr>
                <w:rFonts w:hint="eastAsia" w:ascii="楷体" w:hAnsi="楷体" w:eastAsia="楷体"/>
                <w:sz w:val="24"/>
                <w:szCs w:val="24"/>
              </w:rPr>
              <w:t>意</w:t>
            </w:r>
          </w:p>
          <w:p>
            <w:pPr>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rPr>
                <w:rFonts w:ascii="楷体" w:hAnsi="楷体" w:eastAsia="楷体"/>
                <w:sz w:val="24"/>
                <w:szCs w:val="24"/>
              </w:rPr>
            </w:pP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w:t>
            </w:r>
            <w:r>
              <w:rPr>
                <w:rFonts w:hint="eastAsia" w:ascii="楷体" w:hAnsi="楷体" w:eastAsia="楷体"/>
              </w:rPr>
              <w:t>留级：编入新班级</w:t>
            </w:r>
            <w:r>
              <w:rPr>
                <w:rFonts w:hint="eastAsia" w:ascii="楷体" w:hAnsi="楷体" w:eastAsia="楷体"/>
                <w:u w:val="single"/>
              </w:rPr>
              <w:t xml:space="preserve">                    </w:t>
            </w:r>
            <w:r>
              <w:rPr>
                <w:rFonts w:hint="eastAsia" w:ascii="楷体" w:hAnsi="楷体" w:eastAsia="楷体"/>
              </w:rPr>
              <w:t>班</w:t>
            </w: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w:t>
            </w:r>
            <w:r>
              <w:rPr>
                <w:rFonts w:hint="eastAsia" w:ascii="楷体" w:hAnsi="楷体" w:eastAsia="楷体"/>
              </w:rPr>
              <w:t>应予退学</w:t>
            </w:r>
          </w:p>
          <w:p>
            <w:pPr>
              <w:wordWrap w:val="0"/>
              <w:spacing w:line="300" w:lineRule="auto"/>
              <w:jc w:val="right"/>
              <w:rPr>
                <w:rFonts w:ascii="楷体" w:hAnsi="楷体" w:eastAsia="楷体"/>
                <w:sz w:val="24"/>
                <w:szCs w:val="24"/>
              </w:rPr>
            </w:pPr>
            <w:r>
              <w:rPr>
                <w:rFonts w:hint="eastAsia" w:ascii="楷体" w:hAnsi="楷体" w:eastAsia="楷体"/>
                <w:sz w:val="24"/>
                <w:szCs w:val="24"/>
              </w:rPr>
              <w:t xml:space="preserve">签  名（公章）：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教</w:t>
            </w:r>
          </w:p>
          <w:p>
            <w:pPr>
              <w:jc w:val="center"/>
              <w:rPr>
                <w:rFonts w:ascii="楷体" w:hAnsi="楷体" w:eastAsia="楷体"/>
                <w:sz w:val="24"/>
                <w:szCs w:val="24"/>
              </w:rPr>
            </w:pPr>
            <w:r>
              <w:rPr>
                <w:rFonts w:hint="eastAsia" w:ascii="楷体" w:hAnsi="楷体" w:eastAsia="楷体"/>
                <w:sz w:val="24"/>
                <w:szCs w:val="24"/>
              </w:rPr>
              <w:t>务</w:t>
            </w:r>
          </w:p>
          <w:p>
            <w:pPr>
              <w:jc w:val="center"/>
              <w:rPr>
                <w:rFonts w:ascii="楷体" w:hAnsi="楷体" w:eastAsia="楷体"/>
                <w:sz w:val="24"/>
                <w:szCs w:val="24"/>
              </w:rPr>
            </w:pPr>
            <w:r>
              <w:rPr>
                <w:rFonts w:hint="eastAsia" w:ascii="楷体" w:hAnsi="楷体" w:eastAsia="楷体"/>
                <w:sz w:val="24"/>
                <w:szCs w:val="24"/>
              </w:rPr>
              <w:t>处</w:t>
            </w:r>
          </w:p>
          <w:p>
            <w:pPr>
              <w:jc w:val="center"/>
              <w:rPr>
                <w:rFonts w:ascii="楷体" w:hAnsi="楷体" w:eastAsia="楷体"/>
                <w:sz w:val="24"/>
                <w:szCs w:val="24"/>
              </w:rPr>
            </w:pPr>
            <w:r>
              <w:rPr>
                <w:rFonts w:hint="eastAsia" w:ascii="楷体" w:hAnsi="楷体" w:eastAsia="楷体"/>
                <w:sz w:val="24"/>
                <w:szCs w:val="24"/>
              </w:rPr>
              <w:t>意</w:t>
            </w:r>
          </w:p>
          <w:p>
            <w:pPr>
              <w:spacing w:line="300" w:lineRule="auto"/>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jc w:val="right"/>
              <w:rPr>
                <w:rFonts w:ascii="楷体" w:hAnsi="楷体" w:eastAsia="楷体"/>
                <w:sz w:val="24"/>
                <w:szCs w:val="24"/>
              </w:rPr>
            </w:pPr>
            <w:r>
              <w:rPr>
                <w:rFonts w:hint="eastAsia" w:ascii="楷体" w:hAnsi="楷体" w:eastAsia="楷体"/>
                <w:sz w:val="24"/>
                <w:szCs w:val="24"/>
              </w:rPr>
              <w:t xml:space="preserve">签  名（公章）：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校</w:t>
            </w:r>
          </w:p>
          <w:p>
            <w:pPr>
              <w:jc w:val="center"/>
              <w:rPr>
                <w:rFonts w:ascii="楷体" w:hAnsi="楷体" w:eastAsia="楷体"/>
                <w:sz w:val="24"/>
                <w:szCs w:val="24"/>
              </w:rPr>
            </w:pPr>
            <w:r>
              <w:rPr>
                <w:rFonts w:hint="eastAsia" w:ascii="楷体" w:hAnsi="楷体" w:eastAsia="楷体"/>
                <w:sz w:val="24"/>
                <w:szCs w:val="24"/>
              </w:rPr>
              <w:t>领</w:t>
            </w:r>
          </w:p>
          <w:p>
            <w:pPr>
              <w:jc w:val="center"/>
              <w:rPr>
                <w:rFonts w:ascii="楷体" w:hAnsi="楷体" w:eastAsia="楷体"/>
                <w:sz w:val="24"/>
                <w:szCs w:val="24"/>
              </w:rPr>
            </w:pPr>
            <w:r>
              <w:rPr>
                <w:rFonts w:hint="eastAsia" w:ascii="楷体" w:hAnsi="楷体" w:eastAsia="楷体"/>
                <w:sz w:val="24"/>
                <w:szCs w:val="24"/>
              </w:rPr>
              <w:t>导</w:t>
            </w:r>
          </w:p>
          <w:p>
            <w:pPr>
              <w:jc w:val="center"/>
              <w:rPr>
                <w:rFonts w:ascii="楷体" w:hAnsi="楷体" w:eastAsia="楷体"/>
                <w:sz w:val="24"/>
                <w:szCs w:val="24"/>
              </w:rPr>
            </w:pPr>
            <w:r>
              <w:rPr>
                <w:rFonts w:hint="eastAsia" w:ascii="楷体" w:hAnsi="楷体" w:eastAsia="楷体"/>
                <w:sz w:val="24"/>
                <w:szCs w:val="24"/>
              </w:rPr>
              <w:t>意</w:t>
            </w:r>
          </w:p>
          <w:p>
            <w:pPr>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ind w:firstLine="3240" w:firstLineChars="1350"/>
              <w:rPr>
                <w:rFonts w:ascii="楷体" w:hAnsi="楷体" w:eastAsia="楷体"/>
                <w:sz w:val="24"/>
                <w:szCs w:val="24"/>
              </w:rPr>
            </w:pPr>
            <w:r>
              <w:rPr>
                <w:rFonts w:hint="eastAsia" w:ascii="楷体" w:hAnsi="楷体" w:eastAsia="楷体"/>
                <w:sz w:val="24"/>
                <w:szCs w:val="24"/>
              </w:rPr>
              <w:t>签  名：             年   月   日</w:t>
            </w:r>
          </w:p>
        </w:tc>
      </w:tr>
    </w:tbl>
    <w:p>
      <w:pPr>
        <w:ind w:firstLine="735" w:firstLineChars="350"/>
      </w:pPr>
      <w:r>
        <w:rPr>
          <w:rFonts w:hint="eastAsia"/>
        </w:rPr>
        <w:t>备注：待学校审批后，办理留级或离校手续。一式两份，一份留学院、一份留教务处</w:t>
      </w:r>
    </w:p>
    <w:p>
      <w:pPr>
        <w:spacing w:beforeLines="50" w:afterLines="50"/>
        <w:jc w:val="left"/>
        <w:rPr>
          <w:rFonts w:hint="eastAsia" w:ascii="黑体" w:hAnsi="黑体" w:eastAsia="黑体" w:cs="黑体"/>
          <w:sz w:val="32"/>
          <w:szCs w:val="32"/>
        </w:rPr>
      </w:pPr>
      <w:r>
        <w:rPr>
          <w:rFonts w:hint="eastAsia" w:ascii="黑体" w:hAnsi="黑体" w:eastAsia="黑体" w:cs="黑体"/>
          <w:sz w:val="32"/>
          <w:szCs w:val="32"/>
        </w:rPr>
        <w:t>附件6</w:t>
      </w:r>
    </w:p>
    <w:p>
      <w:pPr>
        <w:jc w:val="center"/>
        <w:rPr>
          <w:b/>
          <w:bCs/>
          <w:sz w:val="32"/>
          <w:szCs w:val="32"/>
        </w:rPr>
      </w:pPr>
      <w:r>
        <w:rPr>
          <w:rFonts w:hint="eastAsia"/>
          <w:b/>
          <w:bCs/>
          <w:sz w:val="32"/>
          <w:szCs w:val="32"/>
        </w:rPr>
        <w:t>二级学院学籍预警排查操作手册</w:t>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ascii="宋体" w:hAnsi="宋体" w:eastAsia="宋体" w:cs="宋体"/>
          <w:b/>
          <w:bCs/>
          <w:sz w:val="24"/>
          <w:szCs w:val="24"/>
        </w:rPr>
      </w:pPr>
      <w:r>
        <w:rPr>
          <w:rFonts w:hint="eastAsia" w:ascii="宋体" w:hAnsi="宋体" w:eastAsia="宋体" w:cs="宋体"/>
          <w:b/>
          <w:bCs/>
          <w:sz w:val="24"/>
          <w:szCs w:val="24"/>
        </w:rPr>
        <w:t>1.学籍预警统计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功能描述：根据学籍预警条件统计出需要进行学籍预警的学生和他们的具体情况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功能路径：成绩管理——学籍预警管理——学籍预警统计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操作描述：进入学籍预警统计功能后，点击统计，选择要统计的年级，会自动检索出该年级下的专业，勾选要统计的专业点击确定后即可进行统计；勾选统计后的一条记录可以看到某一条数据具体的学籍预警排查情况。</w:t>
      </w:r>
    </w:p>
    <w:p>
      <w:r>
        <w:drawing>
          <wp:inline distT="0" distB="0" distL="114300" distR="114300">
            <wp:extent cx="5266690" cy="2432050"/>
            <wp:effectExtent l="0" t="0" r="1016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5266690" cy="2432050"/>
                    </a:xfrm>
                    <a:prstGeom prst="rect">
                      <a:avLst/>
                    </a:prstGeom>
                    <a:noFill/>
                    <a:ln>
                      <a:noFill/>
                    </a:ln>
                  </pic:spPr>
                </pic:pic>
              </a:graphicData>
            </a:graphic>
          </wp:inline>
        </w:drawing>
      </w:r>
    </w:p>
    <w:p>
      <w:pPr>
        <w:jc w:val="center"/>
      </w:pPr>
      <w:r>
        <w:rPr>
          <w:rFonts w:hint="eastAsia"/>
        </w:rPr>
        <w:t>学籍预警统计操作方法</w:t>
      </w:r>
    </w:p>
    <w:p>
      <w:r>
        <w:drawing>
          <wp:inline distT="0" distB="0" distL="114300" distR="114300">
            <wp:extent cx="5269230" cy="2201545"/>
            <wp:effectExtent l="0" t="0" r="762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cstate="print"/>
                    <a:stretch>
                      <a:fillRect/>
                    </a:stretch>
                  </pic:blipFill>
                  <pic:spPr>
                    <a:xfrm>
                      <a:off x="0" y="0"/>
                      <a:ext cx="5269230" cy="2201545"/>
                    </a:xfrm>
                    <a:prstGeom prst="rect">
                      <a:avLst/>
                    </a:prstGeom>
                    <a:noFill/>
                    <a:ln>
                      <a:noFill/>
                    </a:ln>
                  </pic:spPr>
                </pic:pic>
              </a:graphicData>
            </a:graphic>
          </wp:inline>
        </w:drawing>
      </w:r>
    </w:p>
    <w:p>
      <w:pPr>
        <w:jc w:val="center"/>
      </w:pPr>
      <w:r>
        <w:rPr>
          <w:rFonts w:hint="eastAsia"/>
        </w:rPr>
        <w:t>学籍预警统计具体情况</w:t>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ascii="宋体" w:hAnsi="宋体" w:eastAsia="宋体" w:cs="宋体"/>
          <w:b/>
          <w:bCs/>
          <w:sz w:val="24"/>
          <w:szCs w:val="24"/>
        </w:rPr>
      </w:pPr>
      <w:r>
        <w:rPr>
          <w:rFonts w:hint="eastAsia" w:ascii="宋体" w:hAnsi="宋体" w:eastAsia="宋体" w:cs="宋体"/>
          <w:b/>
          <w:bCs/>
          <w:sz w:val="24"/>
          <w:szCs w:val="24"/>
        </w:rPr>
        <w:t>2.学籍预警处理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功能描述：用来进行学生的学籍预警处理和确认，确认后学生登录系统即可查看到学业预警情况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功能路径：成绩管理——学籍预警管理——学籍预警处理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操作描述：进入学籍预警处理界面后，点击预警处理，筛选已经做过预警的年级，会自动检索出相关学生，勾选后点击确认即可进行学籍预警处理；处理后，点击确认即可确认该学生的学籍预警状态，学生登录系统后才可看到学籍预警情况，当然也可以进行撤销确认的操作。</w:t>
      </w:r>
    </w:p>
    <w:p>
      <w:r>
        <w:drawing>
          <wp:inline distT="0" distB="0" distL="114300" distR="114300">
            <wp:extent cx="5269230" cy="2472690"/>
            <wp:effectExtent l="0" t="0" r="762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stretch>
                      <a:fillRect/>
                    </a:stretch>
                  </pic:blipFill>
                  <pic:spPr>
                    <a:xfrm>
                      <a:off x="0" y="0"/>
                      <a:ext cx="5269230" cy="2472690"/>
                    </a:xfrm>
                    <a:prstGeom prst="rect">
                      <a:avLst/>
                    </a:prstGeom>
                    <a:noFill/>
                    <a:ln>
                      <a:noFill/>
                    </a:ln>
                  </pic:spPr>
                </pic:pic>
              </a:graphicData>
            </a:graphic>
          </wp:inline>
        </w:drawing>
      </w:r>
    </w:p>
    <w:p/>
    <w:p>
      <w:pPr>
        <w:spacing w:line="480" w:lineRule="auto"/>
        <w:ind w:firstLine="420" w:firstLineChars="200"/>
      </w:pPr>
      <w:r>
        <w:drawing>
          <wp:inline distT="0" distB="0" distL="114300" distR="114300">
            <wp:extent cx="5641340" cy="2978150"/>
            <wp:effectExtent l="0" t="0" r="16510" b="1270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cstate="print"/>
                    <a:stretch>
                      <a:fillRect/>
                    </a:stretch>
                  </pic:blipFill>
                  <pic:spPr>
                    <a:xfrm>
                      <a:off x="0" y="0"/>
                      <a:ext cx="5641340" cy="2978150"/>
                    </a:xfrm>
                    <a:prstGeom prst="rect">
                      <a:avLst/>
                    </a:prstGeom>
                    <a:noFill/>
                    <a:ln>
                      <a:noFill/>
                    </a:ln>
                  </pic:spPr>
                </pic:pic>
              </a:graphicData>
            </a:graphic>
          </wp:inline>
        </w:drawing>
      </w:r>
    </w:p>
    <w:p>
      <w:pPr>
        <w:spacing w:line="480" w:lineRule="auto"/>
        <w:ind w:firstLine="420" w:firstLineChars="200"/>
      </w:pPr>
    </w:p>
    <w:p>
      <w:pPr>
        <w:pStyle w:val="2"/>
        <w:rPr>
          <w:rFonts w:hint="default" w:eastAsia="仿宋_GB2312"/>
          <w:highlight w:val="none"/>
          <w:lang w:val="en-US" w:eastAsia="zh-CN"/>
        </w:rPr>
      </w:pPr>
    </w:p>
    <w:p>
      <w:pPr>
        <w:pStyle w:val="2"/>
        <w:rPr>
          <w:rFonts w:hint="default" w:eastAsia="仿宋_GB2312"/>
          <w:highlight w:val="none"/>
          <w:lang w:val="en-US" w:eastAsia="zh-CN"/>
        </w:rPr>
      </w:pPr>
    </w:p>
    <w:p>
      <w:pPr>
        <w:pStyle w:val="2"/>
        <w:rPr>
          <w:rFonts w:hint="default" w:eastAsia="仿宋_GB2312"/>
          <w:highlight w:val="none"/>
          <w:lang w:val="en-US" w:eastAsia="zh-CN"/>
        </w:rPr>
      </w:pPr>
    </w:p>
    <w:p>
      <w:pPr>
        <w:rPr>
          <w:highlight w:val="none"/>
        </w:rPr>
      </w:pPr>
    </w:p>
    <w:p>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left="0" w:leftChars="0" w:firstLine="280" w:firstLineChars="100"/>
        <w:jc w:val="both"/>
        <w:textAlignment w:val="auto"/>
      </w:pPr>
      <w:r>
        <w:rPr>
          <w:rFonts w:hint="eastAsia" w:ascii="仿宋_GB2312" w:hAnsi="仿宋_GB2312" w:eastAsia="仿宋_GB2312" w:cs="仿宋_GB2312"/>
          <w:sz w:val="28"/>
          <w:szCs w:val="28"/>
          <w:highlight w:val="none"/>
          <w:lang w:val="en-US" w:eastAsia="zh-CN"/>
        </w:rPr>
        <w:t>福州理工学院教务处                      2023年3月1日印发</w:t>
      </w:r>
    </w:p>
    <w:sectPr>
      <w:footerReference r:id="rId5" w:type="default"/>
      <w:pgSz w:w="11906" w:h="16838"/>
      <w:pgMar w:top="850" w:right="1559" w:bottom="850"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5526405</wp:posOffset>
              </wp:positionH>
              <wp:positionV relativeFrom="paragraph">
                <wp:posOffset>9525</wp:posOffset>
              </wp:positionV>
              <wp:extent cx="1587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8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35.15pt;margin-top:0.75pt;height:144pt;width:12.5pt;mso-position-horizontal-relative:margin;z-index:251659264;mso-width-relative:page;mso-height-relative:page;" filled="f" stroked="f" coordsize="21600,21600" o:gfxdata="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ZP/N1gAAAAkBAAAPAAAAAAAAAAEAIAAAACIAAABkcnMvZG93bnJldi54&#10;bWxQSwECFAAUAAAACACHTuJAFMhmIjUCAABiBAAADgAAAAAAAAABACAAAAAlAQAAZHJzL2Uyb0Rv&#10;Yy54bWxQSwUGAAAAAAYABgBZAQAAzA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4BD9FE"/>
    <w:multiLevelType w:val="singleLevel"/>
    <w:tmpl w:val="CC4BD9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382537EB"/>
    <w:rsid w:val="09C03BF9"/>
    <w:rsid w:val="18251A52"/>
    <w:rsid w:val="1CF13637"/>
    <w:rsid w:val="1DA84CB7"/>
    <w:rsid w:val="1EBC0DFB"/>
    <w:rsid w:val="20512691"/>
    <w:rsid w:val="2153382E"/>
    <w:rsid w:val="23B100DE"/>
    <w:rsid w:val="28C17D89"/>
    <w:rsid w:val="36825807"/>
    <w:rsid w:val="37455D68"/>
    <w:rsid w:val="382537EB"/>
    <w:rsid w:val="3FCC262F"/>
    <w:rsid w:val="444A51B6"/>
    <w:rsid w:val="46803EF8"/>
    <w:rsid w:val="4F176608"/>
    <w:rsid w:val="53A51F57"/>
    <w:rsid w:val="547846DC"/>
    <w:rsid w:val="56347B8F"/>
    <w:rsid w:val="56FD7C79"/>
    <w:rsid w:val="5818420C"/>
    <w:rsid w:val="59396B30"/>
    <w:rsid w:val="59B461B6"/>
    <w:rsid w:val="5B6B2B94"/>
    <w:rsid w:val="5B7E41C8"/>
    <w:rsid w:val="5BC0342E"/>
    <w:rsid w:val="5CD86660"/>
    <w:rsid w:val="6904011C"/>
    <w:rsid w:val="6BB42503"/>
    <w:rsid w:val="6BE97F42"/>
    <w:rsid w:val="75643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rPr>
  </w:style>
  <w:style w:type="paragraph" w:styleId="3">
    <w:name w:val="Body Text"/>
    <w:basedOn w:val="1"/>
    <w:qFormat/>
    <w:uiPriority w:val="0"/>
    <w:pPr>
      <w:spacing w:after="120"/>
    </w:p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3405</Words>
  <Characters>3516</Characters>
  <Lines>0</Lines>
  <Paragraphs>0</Paragraphs>
  <TotalTime>10</TotalTime>
  <ScaleCrop>false</ScaleCrop>
  <LinksUpToDate>false</LinksUpToDate>
  <CharactersWithSpaces>4319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2021-09-15T03:28:00Z</dcterms:created>
  <dc:creator>Administrator</dc:creator>
  <cp:lastModifiedBy>C a i</cp:lastModifiedBy>
  <cp:lastPrinted>2022-09-19T02:41:00Z</cp:lastPrinted>
  <dcterms:modified xsi:type="dcterms:W3CDTF">2023-03-06T03:03:30Z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B64EF577F2394EE6A83E5E5ECAD8AC35</vt:lpwstr>
  </property>
</Properties>
</file>