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bookmarkStart w:id="0" w:name="_GoBack"/>
      <w:bookmarkEnd w:id="0"/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spacing w:line="600" w:lineRule="exact"/>
        <w:contextualSpacing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福理工教〔2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23〕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tabs>
          <w:tab w:val="left" w:pos="8640"/>
        </w:tabs>
        <w:spacing w:line="240" w:lineRule="exact"/>
        <w:contextualSpacing/>
        <w:rPr>
          <w:rFonts w:ascii="华文中宋" w:hAnsi="华文中宋" w:eastAsia="华文中宋"/>
          <w:color w:val="FF0000"/>
          <w:w w:val="50"/>
          <w:sz w:val="32"/>
          <w:szCs w:val="32"/>
          <w:u w:val="thick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       </w:t>
      </w:r>
    </w:p>
    <w:p>
      <w:pPr>
        <w:spacing w:line="400" w:lineRule="exact"/>
        <w:contextualSpacing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700" w:lineRule="exact"/>
        <w:contextualSpacing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关于公布2023年度学科竞赛赛事规划的通知</w:t>
      </w:r>
    </w:p>
    <w:p>
      <w:pPr>
        <w:spacing w:line="400" w:lineRule="exact"/>
        <w:ind w:firstLine="880" w:firstLineChars="200"/>
        <w:contextualSpacing/>
        <w:rPr>
          <w:rFonts w:ascii="方正小标宋简体" w:eastAsia="方正小标宋简体"/>
          <w:b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contextualSpacing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各二级学院：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鼓励和支持我校师生积极参加各类学科竞赛活动，提高学校的社会影响力，发挥竞赛在提高人才培养质量上的积极作用和对学校教学、科研工作的促进作用，结合往年我校学科竞赛成果及各赛事的排名、影响力，经学院申报、教务处审核、校长办公会审议通过后，现将我校2023年度学科竞赛赛事规划目录公布，详情请见附件1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2023年福建省教育厅年度规划赛事可直接按照规划内赛事组织参加。</w:t>
      </w:r>
      <w:r>
        <w:rPr>
          <w:rFonts w:hint="eastAsia" w:ascii="仿宋_GB2312" w:hAnsi="仿宋_GB2312" w:eastAsia="仿宋_GB2312" w:cs="仿宋_GB2312"/>
          <w:sz w:val="32"/>
          <w:szCs w:val="32"/>
        </w:rPr>
        <w:t>确定后的年度学科竞赛项目规划原则上不再变动，计划外确需新增的重点项目，由参赛组织单位填写《计划外新增竞赛项目审批表》按流程履行审批手续后方可立项。未被纳入年度学科竞赛项目规划内的项目，学院可自行组织学生参赛，比赛结果仍可作为学生素质拓展学分认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。同一自然年内同一教师指导同一类别竞赛，不超过3项，指导学生超过3个项目的，按学生获奖的最高级别3项进行奖励，超过部分不进行累加。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contextualSpacing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赛事组织单位应根据年度赛事规划做好各项学科竞赛的准备工作，创造良好的竞赛基础和环境，努力提高竞赛水平和成绩，以学科竞赛为抓手进一步推动我校教育教学改革，创新教学模式，培养学生的创新意识、实践能力和团队精神，以学科竞赛为平台充分展示我校教育教学的优秀成果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1600" w:leftChars="0" w:hanging="1600" w:hangingChars="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1598" w:leftChars="304" w:hanging="960" w:hanging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附件：福州理工学院2023年度学科竞赛赛事规划目录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0" w:firstLineChars="1500"/>
        <w:contextualSpacing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0" w:firstLineChars="1500"/>
        <w:contextualSpacing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0" w:firstLineChars="1500"/>
        <w:contextualSpacing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福州理工学院教务处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120" w:firstLineChars="1600"/>
        <w:contextualSpacing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spacing w:line="600" w:lineRule="exact"/>
        <w:contextualSpacing/>
        <w:jc w:val="left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contextualSpacing/>
        <w:jc w:val="left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contextualSpacing/>
        <w:jc w:val="left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contextualSpacing/>
        <w:jc w:val="left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contextualSpacing/>
        <w:jc w:val="left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contextualSpacing/>
        <w:jc w:val="left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contextualSpacing/>
        <w:jc w:val="left"/>
        <w:rPr>
          <w:rFonts w:ascii="黑体" w:hAnsi="黑体" w:eastAsia="黑体"/>
          <w:sz w:val="32"/>
          <w:szCs w:val="32"/>
        </w:rPr>
      </w:pPr>
    </w:p>
    <w:p>
      <w:pPr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rPr>
          <w:rFonts w:hint="eastAsia" w:ascii="方正小标宋简体" w:hAnsi="方正小标宋简体" w:eastAsia="方正小标宋简体" w:cs="方正小标宋简体"/>
          <w:sz w:val="32"/>
          <w:szCs w:val="32"/>
        </w:rPr>
        <w:sectPr>
          <w:footerReference r:id="rId3" w:type="default"/>
          <w:footerReference r:id="rId4" w:type="even"/>
          <w:pgSz w:w="11907" w:h="16840"/>
          <w:pgMar w:top="1587" w:right="1559" w:bottom="1587" w:left="1559" w:header="0" w:footer="992" w:gutter="0"/>
          <w:pgNumType w:fmt="numberInDash"/>
          <w:cols w:space="425" w:num="1"/>
          <w:docGrid w:type="linesAndChars" w:linePitch="312" w:charSpace="0"/>
        </w:sect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36"/>
        </w:rPr>
        <w:t>福州理工学院2023年度学科竞赛赛事规划目录</w:t>
      </w:r>
    </w:p>
    <w:tbl>
      <w:tblPr>
        <w:tblStyle w:val="8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58"/>
        <w:gridCol w:w="4059"/>
        <w:gridCol w:w="3469"/>
        <w:gridCol w:w="1985"/>
        <w:gridCol w:w="1952"/>
        <w:gridCol w:w="19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参赛组织单位</w:t>
            </w:r>
          </w:p>
        </w:tc>
        <w:tc>
          <w:tcPr>
            <w:tcW w:w="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3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竞赛项目名称</w:t>
            </w:r>
          </w:p>
        </w:tc>
        <w:tc>
          <w:tcPr>
            <w:tcW w:w="11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主办单位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核定等级</w:t>
            </w:r>
          </w:p>
        </w:tc>
        <w:tc>
          <w:tcPr>
            <w:tcW w:w="6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面向学科/专业</w:t>
            </w: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商学院</w:t>
            </w: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全国大学生市场调查与分析大赛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教育部高等学校统计学类专业教学指导委员会、中国商业统计学会、中华应用统计学会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省赛三级/国赛二级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经济学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“外研社杯”全国英语写作/阅读/演讲大赛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外语教学与研究出版社、教育部高等学校大学外语教学指导委员会、教育部高等学校英语专业教学指导分委员会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省赛三级/国赛二级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公共基础类（英语）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“东方财富杯”全国大学生金融精英挑战赛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共青团中央青年发展部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奖励认定到一等奖为止；冠亚季军认定二级；一等奖认定为三级一等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经济学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全国大学生“创新、创意及创业”电子商务挑战赛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教育部高校电子商务类专业教学指导委员会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省赛三级/国赛二级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管理学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“亿学杯——讲好中国好故事”外语技能大赛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福建省教育厅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公共基础类（英语）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福建省大学生会计及税务技能创新大赛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福建省教育厅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管理学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“亿学杯”福建省商务英语职场技能大赛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福建省教育厅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文学（商务英语）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“学创杯”全国大学生创业综合模拟大赛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国家级实验教学示范中心联会经济与管理学科组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中国陶行知研究会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省赛三级/国赛二级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综合类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21世纪杯全国英语演讲比赛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中国日报社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省赛四级/国赛三级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公共基础类（英语）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“福思特杯”全国大学生审计精英挑战赛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中国审计学会审计教育分会主办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省赛四级/国赛三级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管理学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11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“科云杯”全国大学生本科组财会职业能力大赛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中国商业会计协会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省赛四级/国赛三级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管理学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12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CATTI杯全国翻译大赛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全国翻译专业学位研究生教育指导委员会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省赛四等/国赛三等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文学（商务英语）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13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“外教社杯”福建省高校学生跨文化能力大赛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福建省教育厅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公共基础类（英语）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14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全国大学生统计建模大赛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中国统计教育学会、教育部高等学校统计学类专业教学指导委员会、全国应用统计专业学位研究生教育指导委员会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省赛四级/国赛三级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经济学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计算与信息科学学院</w:t>
            </w: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15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中国大学生计算机设计大赛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教育部高等学校计算机类专业教学指导委员会、教育部高等学校软件工程专业教学指导委员会、教育部高等学校大学计算机课程教学指导委员会等联合主办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省赛三级/国赛二级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计算机类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立项不超过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  <w:t>十支队伍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16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蓝桥杯全国软件和信息技术专业人才大赛（软件个人赛）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工业和信息化部人才交流中心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省赛三级/国赛二级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计算机类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立项不超过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  <w:t>十支队伍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17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中国高校计算机大赛（大数据挑战赛、团体程序设计天梯赛、移动应用创新赛、网络技术挑战赛、人工智能创意赛）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全国高等学校计算机教育研究会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省赛三级/国赛二级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计算机类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18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华为ICT大赛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华为技术有限公司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省赛三级/国赛二级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计算机类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19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海峡两岸信息服务创新大赛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福建省经济和信息化委员会、福建省教育厅等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计算机类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20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“锐智杯”福建省大学生智能设计大赛（国赛选拔赛）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福建省教育厅、福建省人工智能学会主办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计算机类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21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福建省大学生人工智能行业分析与实践大赛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福建省教育厅、福建省人工智能科教学会主办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计算机类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22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全国大学生数学建模竞赛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教育部高等教育司、中国工业与应用数学学会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省赛三级/国赛二级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公共基础类（数学）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立项不超过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  <w:t>十支队伍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23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全国大学生数学竞赛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中国数学会、福建省数学学会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省赛三级/国赛二级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公共基础类（数学）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24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“大唐杯”全国大学生移动通信5G技术大赛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工业和信息化部人才交流中心，中国通信企业协会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省赛三级/国赛二级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电子信息类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立项不超过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  <w:t>十支队伍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25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福建省大学生合泰杯单片机应用设计大赛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福建省教育厅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电子信息类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26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全国大学生电子设计竞赛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教育部高等教育司、工业和信息化部人事教育司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省赛三级/国赛二级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电子信息类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立项不超过十五只队伍</w:t>
            </w:r>
          </w:p>
        </w:tc>
      </w:tr>
      <w:tr>
        <w:trPr>
          <w:trHeight w:val="27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27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全国大学生嵌入式芯片与系统设计竞赛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中国电子教育学会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省赛三级/国赛二级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电子信息类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28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亚太地区大学生数学建模竞赛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北京图像图形学学会、亚太地区大学生数学建模竞赛组委会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公共基础类（数学）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应用科学与工程学院</w:t>
            </w: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29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全国大学生生命科学竞赛（CULSC）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教育部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省赛三级/国赛二级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生物类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30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全国大学生生物医学工程创新设计竞赛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中国生物医学工程学会教育工作委员会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国赛三级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生物类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31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全国大学生广告艺术大赛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全国大学生广告艺术大赛组委会、中国传媒大学、大广赛文化传播（北京）有限公司、各省、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  <w:t>直辖市、自治区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教育厅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省赛三级/国赛二级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广告艺术类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32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蓝桥杯全国软件和信息技术专业人才大赛（艺术设计类）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工业和信息化部人才交流中心、教育部就业指导中心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省赛四级/国赛三级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广告艺术类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33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未来设计师●全国高校数字艺术设计大赛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工业和信息化部人才交流中心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省赛三级/国赛二级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广告艺术类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34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中国好创意暨全国数字艺术设计大赛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全国高等院校计算机基础教育研究会、中国电子视像行业协会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省赛三级/国赛二级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广告艺术类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35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中国大学生广告艺术节学院奖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中国广告协会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国赛三级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广告艺术类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36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全国高校BIM毕业设计创新大赛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中国软件行业协会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国赛三级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土木类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立项不超过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  <w:t>十支队伍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37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福建省大学生BIM及招投标应用创新大赛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福建省教育厅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土木类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38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全国大学生结构设计竞赛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高等学校土木工程学科专业指导委员会和中国土木工程学会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省赛三级/国赛二级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土木类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39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“南方测绘杯”第六届全国高等学校大学生测绘技能大赛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全国高等学校测绘类专业竞赛联盟、自然资源部职业技能鉴定指导中心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国赛三级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土木类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40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“中国电机工程学会杯”全国大学生电工数学建模竞赛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中国电机工程学会电工数学专业委员会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国赛三级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建筑电气与智能化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108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41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全国周培源大学生力学竞赛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教育部高等学校力学教学指导委员会、力学基础课程教学指导分委员会、中国力学学会和周培源基金会共同主办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区域赛三级/决赛二级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土木类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护理学院</w:t>
            </w: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42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中华医学会健康管理学分会科普演讲比赛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中华医学会、中华医学会健康管理学分会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区域赛三级/决赛二级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健康服务与管理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43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中华医学会健康管理学分会健康管理知识竞赛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中华医学会、中华医学会健康管理学分会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区域赛三级/决赛二级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健康服务与管理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44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全国高等医学院校大学生临床技能竞赛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教育部、财政部、卫生部主办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教育部医学教育临床教学中心承办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护理学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45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全国护理专业本科临床技能大赛等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高等护理教育学会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护理学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46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全国康复治疗学技术专业技能大赛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中国康复医学会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中国康复医学会康复医学教育专业委员会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康复治疗学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47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全国高校运动康复专业学生技能大赛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教育部普通高校体育教学指导委员会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中国康复医学会体育保健康复专业委员会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康复治疗学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体育教学部</w:t>
            </w: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48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CUBA中国大学生篮球联赛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中国大学生体育协会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省赛四级/决赛三级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公共基础类（体育）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49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福建省运动会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福建省教育厅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公共基础类（体育）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中国大学生跳绳联赛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中国大学生体育协会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省赛四级/决赛三级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公共基础类（体育）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立项不超过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  <w:t>十支队伍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51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中国大学生街舞联赛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中国大学生体育协会 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省赛四级/决赛三级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公共基础类（体育）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中国大学生田径锦标赛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中国大学生体育协会 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省赛四级/决赛三级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公共基础类（体育）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立项不超过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  <w:t>十支队伍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中国大学生健身操锦标赛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中国大学生体育协会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省赛四级/决赛三级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公共基础类（体育）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立项不超过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  <w:t>十支队伍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中国大学生健身气功锦标赛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中国大学生体育协会 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省赛四级/决赛三级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公共基础类（体育）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立项不超过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  <w:t>十支队伍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马克思主义学院</w:t>
            </w: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“我心目中的思政课”全国高校大学生微电影大赛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教育部高校思政课教学指导委员会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省赛三级/国赛二级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公共基础类（思政）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习近平新时代中国特色社会主义思想大学习领航计划系列主题活动：C26高校大学生讲思政课公开课、微电影展示、主题征文、微演讲等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中共福建省委教育工委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省赛三级/国赛二级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公共基础类（思政）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福建省高校大学生学习马克思主义理论“一‘马’当先”知识竞赛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中共福建省委教育工委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公共基础类（思政）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招就处</w:t>
            </w: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中国国际“互联网+”大学生创新创业大赛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教育部、中央统战部、共青团中央、工业和信息化部等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互联网+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综合类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福建省大学生职业规划大赛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福建省教育厅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综合类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福建省海峡两岸女大学生创新创业大赛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福建省教育厅、福建省妇联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综合类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学工处</w:t>
            </w: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61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福建省大学生军事技能比武活动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福建省教育厅、福建省国防教育办公室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公共基础类（军事）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校团委</w:t>
            </w: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62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“挑战杯”全国大学生课外学术科技作品竞赛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共青团中央、教育部、中国社会科学院、中国科协、全国学联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挑战杯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综合类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63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"挑战杯"中国大学生创业计划竞赛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共青团中央、中国科协、教育部、全国学联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挑战杯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综合类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64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“创青春”全国大学生创业大赛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共青团中央、教育部、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  <w:t>人力资源和社会保障部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、中国科协、全国学联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省赛三级/国赛二级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综合类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65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全国大学生艺术节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教育部、福建省教育厅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省赛三级/国赛二级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综合类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66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全国大中专学生志愿者暑期文化科技卫生“三下乡”社会实践活动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中央宣传部、中央文明办、教育部、共青团中央、全国学联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省赛三级/国赛二级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综合类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综合</w:t>
            </w: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67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海峡两岸大学生职业技能大赛暨创新科技作品展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福建省教育厅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综合类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68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中国大学生工程实践与创新能力大赛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教育部高等教育司主办，教育部高等学校工程训练教学指导委员会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省赛三级/国赛二级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综合类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商学院统一立项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69</w:t>
            </w:r>
          </w:p>
        </w:tc>
        <w:tc>
          <w:tcPr>
            <w:tcW w:w="13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第二届福建省青年科普创新实验暨作品大赛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福建省教育厅、共青团福建省委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省赛三级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综合类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</w:tbl>
    <w:p>
      <w:pPr>
        <w:rPr>
          <w:rFonts w:ascii="黑体" w:hAnsi="黑体" w:eastAsia="黑体" w:cs="黑体"/>
          <w:sz w:val="32"/>
          <w:szCs w:val="32"/>
        </w:rPr>
        <w:sectPr>
          <w:pgSz w:w="16840" w:h="11907" w:orient="landscape"/>
          <w:pgMar w:top="1440" w:right="1080" w:bottom="1440" w:left="1080" w:header="0" w:footer="992" w:gutter="0"/>
          <w:pgNumType w:fmt="numberInDash"/>
          <w:cols w:space="425" w:num="1"/>
          <w:docGrid w:type="linesAndChars" w:linePitch="312" w:charSpace="0"/>
        </w:sectPr>
      </w:pP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（本页无正文）</w:t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jc w:val="left"/>
        <w:textAlignment w:val="auto"/>
        <w:rPr>
          <w:rFonts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jc w:val="left"/>
        <w:textAlignment w:val="auto"/>
        <w:rPr>
          <w:rFonts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jc w:val="left"/>
        <w:textAlignment w:val="auto"/>
        <w:rPr>
          <w:rFonts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jc w:val="left"/>
        <w:textAlignment w:val="auto"/>
        <w:rPr>
          <w:rFonts w:ascii="黑体" w:hAnsi="黑体" w:eastAsia="黑体"/>
          <w:sz w:val="32"/>
          <w:szCs w:val="32"/>
        </w:rPr>
      </w:pPr>
    </w:p>
    <w:p>
      <w:pPr>
        <w:pStyle w:val="19"/>
        <w:keepNext w:val="0"/>
        <w:keepLines w:val="0"/>
        <w:pageBreakBefore w:val="0"/>
        <w:widowControl w:val="0"/>
        <w:pBdr>
          <w:top w:val="single" w:color="auto" w:sz="6" w:space="1"/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contextualSpacing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福州理工学院教务处          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ascii="仿宋_GB2312" w:eastAsia="仿宋_GB2312"/>
          <w:sz w:val="28"/>
          <w:szCs w:val="28"/>
        </w:rPr>
        <w:t>202</w:t>
      </w:r>
      <w:r>
        <w:rPr>
          <w:rFonts w:hint="eastAsia" w:ascii="仿宋_GB2312" w:eastAsia="仿宋_GB2312"/>
          <w:sz w:val="28"/>
          <w:szCs w:val="28"/>
        </w:rPr>
        <w:t>3年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28"/>
          <w:szCs w:val="28"/>
        </w:rPr>
        <w:t>日印发</w:t>
      </w:r>
    </w:p>
    <w:sectPr>
      <w:pgSz w:w="11907" w:h="16840"/>
      <w:pgMar w:top="1587" w:right="1559" w:bottom="1587" w:left="1559" w:header="0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-9525</wp:posOffset>
              </wp:positionV>
              <wp:extent cx="254000" cy="175260"/>
              <wp:effectExtent l="0" t="0" r="6350" b="889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000" cy="175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ascii="宋体" w:hAnsi="宋体" w:cs="Times New Roman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ascii="宋体" w:hAnsi="宋体" w:cs="Times New Roman"/>
                              <w:sz w:val="28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Times New Roman"/>
                              <w:sz w:val="28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Times New Roman"/>
                              <w:sz w:val="28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Times New Roman"/>
                              <w:sz w:val="28"/>
                              <w:szCs w:val="24"/>
                            </w:rPr>
                            <w:t>- 3 -</w:t>
                          </w:r>
                          <w:r>
                            <w:rPr>
                              <w:rFonts w:ascii="宋体" w:hAnsi="宋体" w:cs="Times New Roman"/>
                              <w:sz w:val="28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75pt;height:13.8pt;width:20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Fa1ffDTAAAABQEAAA8AAAAAAAAAAQAgAAAAIgAAAGRycy9kb3ducmV2LnhtbFBLAQIUABQA&#10;AAAIAIdO4kDZhX5JLgIAAFMEAAAOAAAAAAAAAAEAIAAAACI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宋体" w:hAnsi="宋体" w:cs="Times New Roman"/>
                        <w:sz w:val="28"/>
                        <w:szCs w:val="24"/>
                      </w:rPr>
                    </w:pPr>
                    <w:r>
                      <w:rPr>
                        <w:rFonts w:ascii="宋体" w:hAnsi="宋体" w:cs="Times New Roman"/>
                        <w:sz w:val="28"/>
                        <w:szCs w:val="24"/>
                      </w:rPr>
                      <w:fldChar w:fldCharType="begin"/>
                    </w:r>
                    <w:r>
                      <w:rPr>
                        <w:rFonts w:ascii="宋体" w:hAnsi="宋体" w:cs="Times New Roman"/>
                        <w:sz w:val="28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Times New Roman"/>
                        <w:sz w:val="28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cs="Times New Roman"/>
                        <w:sz w:val="28"/>
                        <w:szCs w:val="24"/>
                      </w:rPr>
                      <w:t>- 3 -</w:t>
                    </w:r>
                    <w:r>
                      <w:rPr>
                        <w:rFonts w:ascii="宋体" w:hAnsi="宋体" w:cs="Times New Roman"/>
                        <w:sz w:val="28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54000" cy="175260"/>
              <wp:effectExtent l="0" t="0" r="12700" b="15240"/>
              <wp:wrapNone/>
              <wp:docPr id="1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 w:cs="Times New Roman"/>
                              <w:sz w:val="28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Times New Roman"/>
                              <w:sz w:val="28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Times New Roman"/>
                              <w:sz w:val="28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Times New Roman"/>
                              <w:sz w:val="28"/>
                              <w:szCs w:val="24"/>
                            </w:rPr>
                            <w:t>- 4 -</w:t>
                          </w:r>
                          <w:r>
                            <w:rPr>
                              <w:rFonts w:ascii="宋体" w:hAnsi="宋体" w:cs="Times New Roman"/>
                              <w:sz w:val="28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3.8pt;width:20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Ui5Io0AAAAAMBAAAPAAAAAAAAAAEAIAAAACIAAABkcnMvZG93&#10;bnJldi54bWxQSwECFAAUAAAACACHTuJAtR8C9AgCAAACBAAADgAAAAAAAAABACAAAAAf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 w:cs="Times New Roman"/>
                        <w:sz w:val="28"/>
                        <w:szCs w:val="24"/>
                      </w:rPr>
                      <w:fldChar w:fldCharType="begin"/>
                    </w:r>
                    <w:r>
                      <w:rPr>
                        <w:rFonts w:ascii="宋体" w:hAnsi="宋体" w:cs="Times New Roman"/>
                        <w:sz w:val="28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Times New Roman"/>
                        <w:sz w:val="28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cs="Times New Roman"/>
                        <w:sz w:val="28"/>
                        <w:szCs w:val="24"/>
                      </w:rPr>
                      <w:t>- 4 -</w:t>
                    </w:r>
                    <w:r>
                      <w:rPr>
                        <w:rFonts w:ascii="宋体" w:hAnsi="宋体" w:cs="Times New Roman"/>
                        <w:sz w:val="28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wODc5Y2I0MDM2ODI3YjE2NTM3NDU4YjEwNjc0ZmIifQ=="/>
  </w:docVars>
  <w:rsids>
    <w:rsidRoot w:val="00751E11"/>
    <w:rsid w:val="00043E6E"/>
    <w:rsid w:val="00044E7D"/>
    <w:rsid w:val="000923E3"/>
    <w:rsid w:val="0009339A"/>
    <w:rsid w:val="000D21D9"/>
    <w:rsid w:val="000D4621"/>
    <w:rsid w:val="000E0643"/>
    <w:rsid w:val="00100BC8"/>
    <w:rsid w:val="00125711"/>
    <w:rsid w:val="0014009B"/>
    <w:rsid w:val="00140ED2"/>
    <w:rsid w:val="00146E29"/>
    <w:rsid w:val="001531DD"/>
    <w:rsid w:val="00167C6A"/>
    <w:rsid w:val="001874A8"/>
    <w:rsid w:val="00193D7C"/>
    <w:rsid w:val="001B5580"/>
    <w:rsid w:val="001C28C4"/>
    <w:rsid w:val="001D081E"/>
    <w:rsid w:val="001E61BA"/>
    <w:rsid w:val="001F56E2"/>
    <w:rsid w:val="002160E7"/>
    <w:rsid w:val="002316D0"/>
    <w:rsid w:val="002320FF"/>
    <w:rsid w:val="0026138D"/>
    <w:rsid w:val="002A666A"/>
    <w:rsid w:val="00314155"/>
    <w:rsid w:val="00331A64"/>
    <w:rsid w:val="0033611A"/>
    <w:rsid w:val="003362ED"/>
    <w:rsid w:val="0033746B"/>
    <w:rsid w:val="00341B41"/>
    <w:rsid w:val="0035792A"/>
    <w:rsid w:val="00362474"/>
    <w:rsid w:val="00391015"/>
    <w:rsid w:val="003B3694"/>
    <w:rsid w:val="00400077"/>
    <w:rsid w:val="004211F4"/>
    <w:rsid w:val="004227BD"/>
    <w:rsid w:val="004459E6"/>
    <w:rsid w:val="0045328E"/>
    <w:rsid w:val="00457FE8"/>
    <w:rsid w:val="00494751"/>
    <w:rsid w:val="004B081D"/>
    <w:rsid w:val="004D1C1F"/>
    <w:rsid w:val="0050451B"/>
    <w:rsid w:val="00525CCD"/>
    <w:rsid w:val="00563F75"/>
    <w:rsid w:val="00566E1E"/>
    <w:rsid w:val="005E4B0F"/>
    <w:rsid w:val="00602AE7"/>
    <w:rsid w:val="00613BF9"/>
    <w:rsid w:val="0062028C"/>
    <w:rsid w:val="00653CF7"/>
    <w:rsid w:val="00660FA8"/>
    <w:rsid w:val="006753A8"/>
    <w:rsid w:val="00687F5D"/>
    <w:rsid w:val="00692AED"/>
    <w:rsid w:val="006931A3"/>
    <w:rsid w:val="006B3BCA"/>
    <w:rsid w:val="006C0A12"/>
    <w:rsid w:val="006C416A"/>
    <w:rsid w:val="006D45B7"/>
    <w:rsid w:val="00702B82"/>
    <w:rsid w:val="00751E11"/>
    <w:rsid w:val="00791B9D"/>
    <w:rsid w:val="007E07C3"/>
    <w:rsid w:val="007E3362"/>
    <w:rsid w:val="00832B9E"/>
    <w:rsid w:val="00860F3E"/>
    <w:rsid w:val="00866D95"/>
    <w:rsid w:val="00887C5A"/>
    <w:rsid w:val="008A58EA"/>
    <w:rsid w:val="008C11A9"/>
    <w:rsid w:val="008C211C"/>
    <w:rsid w:val="008D5A47"/>
    <w:rsid w:val="008E2074"/>
    <w:rsid w:val="008E6146"/>
    <w:rsid w:val="00907923"/>
    <w:rsid w:val="00907EB0"/>
    <w:rsid w:val="00944A27"/>
    <w:rsid w:val="00957771"/>
    <w:rsid w:val="00960347"/>
    <w:rsid w:val="00986C44"/>
    <w:rsid w:val="009A76F9"/>
    <w:rsid w:val="009E6FFC"/>
    <w:rsid w:val="009F0643"/>
    <w:rsid w:val="009F25FE"/>
    <w:rsid w:val="00A1293C"/>
    <w:rsid w:val="00A31842"/>
    <w:rsid w:val="00A47516"/>
    <w:rsid w:val="00A66790"/>
    <w:rsid w:val="00A83383"/>
    <w:rsid w:val="00A9105C"/>
    <w:rsid w:val="00AA0974"/>
    <w:rsid w:val="00AD02D1"/>
    <w:rsid w:val="00AD7202"/>
    <w:rsid w:val="00B236C5"/>
    <w:rsid w:val="00B464A4"/>
    <w:rsid w:val="00B675C2"/>
    <w:rsid w:val="00B7272B"/>
    <w:rsid w:val="00B73B6C"/>
    <w:rsid w:val="00BE1707"/>
    <w:rsid w:val="00C1537B"/>
    <w:rsid w:val="00C61263"/>
    <w:rsid w:val="00C767BE"/>
    <w:rsid w:val="00C8148A"/>
    <w:rsid w:val="00CB32B1"/>
    <w:rsid w:val="00CC1BF5"/>
    <w:rsid w:val="00CE3D77"/>
    <w:rsid w:val="00CE633D"/>
    <w:rsid w:val="00D05488"/>
    <w:rsid w:val="00D208F8"/>
    <w:rsid w:val="00D3014E"/>
    <w:rsid w:val="00D512D7"/>
    <w:rsid w:val="00D519CC"/>
    <w:rsid w:val="00D8693A"/>
    <w:rsid w:val="00DA1CD9"/>
    <w:rsid w:val="00DB12F2"/>
    <w:rsid w:val="00DB3236"/>
    <w:rsid w:val="00DB4F0E"/>
    <w:rsid w:val="00DC6EEF"/>
    <w:rsid w:val="00DC7000"/>
    <w:rsid w:val="00DD0D1C"/>
    <w:rsid w:val="00E03BE6"/>
    <w:rsid w:val="00E6777E"/>
    <w:rsid w:val="00E95552"/>
    <w:rsid w:val="00EA4ED4"/>
    <w:rsid w:val="00EA79A6"/>
    <w:rsid w:val="00EC7C01"/>
    <w:rsid w:val="00F27BCA"/>
    <w:rsid w:val="00F42321"/>
    <w:rsid w:val="00F5785F"/>
    <w:rsid w:val="00F61144"/>
    <w:rsid w:val="00FB69EC"/>
    <w:rsid w:val="00FC57AF"/>
    <w:rsid w:val="00FD1C21"/>
    <w:rsid w:val="00FD1F69"/>
    <w:rsid w:val="00FF1949"/>
    <w:rsid w:val="00FF72FA"/>
    <w:rsid w:val="10AA4349"/>
    <w:rsid w:val="145B6543"/>
    <w:rsid w:val="1B58577D"/>
    <w:rsid w:val="26442820"/>
    <w:rsid w:val="2D3065EC"/>
    <w:rsid w:val="38FD68EC"/>
    <w:rsid w:val="3BC22BE6"/>
    <w:rsid w:val="3D1D052F"/>
    <w:rsid w:val="3E48390A"/>
    <w:rsid w:val="43756090"/>
    <w:rsid w:val="47152607"/>
    <w:rsid w:val="497659E2"/>
    <w:rsid w:val="594F3C5E"/>
    <w:rsid w:val="5D7541C7"/>
    <w:rsid w:val="5E113BD7"/>
    <w:rsid w:val="68945B31"/>
    <w:rsid w:val="6FC610E9"/>
    <w:rsid w:val="711C5DEB"/>
    <w:rsid w:val="754824A1"/>
    <w:rsid w:val="75BB72A6"/>
    <w:rsid w:val="75BE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semiHidden/>
    <w:unhideWhenUsed/>
    <w:qFormat/>
    <w:uiPriority w:val="99"/>
    <w:rPr>
      <w:color w:val="333333"/>
      <w:u w:val="none"/>
    </w:rPr>
  </w:style>
  <w:style w:type="character" w:customStyle="1" w:styleId="12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4">
    <w:name w:val="标题 1 Char"/>
    <w:basedOn w:val="10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5">
    <w:name w:val="arti-metas1"/>
    <w:basedOn w:val="1"/>
    <w:qFormat/>
    <w:uiPriority w:val="0"/>
    <w:pPr>
      <w:widowControl/>
      <w:pBdr>
        <w:bottom w:val="single" w:color="7E0001" w:sz="12" w:space="8"/>
      </w:pBdr>
      <w:spacing w:line="240" w:lineRule="atLeast"/>
      <w:jc w:val="center"/>
    </w:pPr>
    <w:rPr>
      <w:rFonts w:ascii="微软雅黑" w:hAnsi="微软雅黑" w:eastAsia="微软雅黑" w:cs="宋体"/>
      <w:color w:val="333333"/>
      <w:kern w:val="0"/>
      <w:szCs w:val="21"/>
    </w:rPr>
  </w:style>
  <w:style w:type="character" w:customStyle="1" w:styleId="16">
    <w:name w:val="wp_visitcount1"/>
    <w:basedOn w:val="10"/>
    <w:qFormat/>
    <w:uiPriority w:val="0"/>
    <w:rPr>
      <w:vanish/>
      <w:color w:val="787878"/>
      <w:sz w:val="18"/>
      <w:szCs w:val="18"/>
    </w:rPr>
  </w:style>
  <w:style w:type="character" w:customStyle="1" w:styleId="17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8">
    <w:name w:val="日期 Char"/>
    <w:basedOn w:val="10"/>
    <w:link w:val="3"/>
    <w:semiHidden/>
    <w:qFormat/>
    <w:uiPriority w:val="99"/>
    <w:rPr>
      <w:kern w:val="2"/>
      <w:sz w:val="21"/>
      <w:szCs w:val="2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C66BC7-62B7-40A6-A389-9384728A38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9</Pages>
  <Words>4151</Words>
  <Characters>4257</Characters>
  <Lines>36</Lines>
  <Paragraphs>10</Paragraphs>
  <TotalTime>118</TotalTime>
  <ScaleCrop>false</ScaleCrop>
  <LinksUpToDate>false</LinksUpToDate>
  <CharactersWithSpaces>4467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2023-02-27T00:38:00Z</dcterms:created>
  <dc:creator>Wrgho</dc:creator>
  <cp:lastModifiedBy>皮皮er</cp:lastModifiedBy>
  <dcterms:modified xsi:type="dcterms:W3CDTF">2023-03-06T00:22:20Z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D3D29FBFCCBE45F89BE0F1B099F6B001</vt:lpwstr>
  </property>
</Properties>
</file>