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600" w:lineRule="exact"/>
        <w:contextualSpacing/>
        <w:jc w:val="center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福理工教〔202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〕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108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号</w:t>
      </w:r>
    </w:p>
    <w:p>
      <w:pPr>
        <w:spacing w:line="240" w:lineRule="exact"/>
        <w:contextualSpacing/>
        <w:rPr>
          <w:rFonts w:ascii="方正小标宋简体" w:eastAsia="方正小标宋简体"/>
          <w:color w:val="000000" w:themeColor="text1"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ascii="方正小标宋简体" w:eastAsia="方正小标宋简体"/>
          <w:color w:val="000000" w:themeColor="text1"/>
          <w:sz w:val="32"/>
          <w:szCs w:val="32"/>
        </w:rPr>
      </w:pPr>
    </w:p>
    <w:p>
      <w:pPr>
        <w:spacing w:line="700" w:lineRule="exact"/>
        <w:contextualSpacing/>
        <w:jc w:val="center"/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</w:rPr>
        <w:t>关于做好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</w:rPr>
        <w:t>202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</w:rPr>
        <w:t>年学士学位授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</w:rPr>
        <w:t>权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</w:rPr>
        <w:t>专业审核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</w:rPr>
        <w:t>及</w:t>
      </w:r>
    </w:p>
    <w:p>
      <w:pPr>
        <w:spacing w:line="700" w:lineRule="exact"/>
        <w:contextualSpacing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</w:rPr>
        <w:t>质量评估工作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jc w:val="both"/>
        <w:textAlignment w:val="auto"/>
        <w:rPr>
          <w:rFonts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各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二级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学院：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根据《福建省学位委员会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办公室关于做好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年学士学位授予专业审核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及质量评估工作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的通知》（闽学位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办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〔20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〕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号）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仿宋_GB2312" w:eastAsia="仿宋_GB2312" w:hAnsiTheme="minorHAnsi" w:cstheme="minorBidi"/>
          <w:b w:val="0"/>
          <w:bCs w:val="0"/>
          <w:color w:val="000000" w:themeColor="text1"/>
          <w:kern w:val="2"/>
          <w:sz w:val="32"/>
          <w:szCs w:val="32"/>
          <w:lang w:eastAsia="zh-CN" w:bidi="ar"/>
        </w:rPr>
        <w:t>《福建省学位委员会关于印发《福建省学士学位授权与授予审核管理办法》的通知》（闽学位〔20</w:t>
      </w:r>
      <w:r>
        <w:rPr>
          <w:rFonts w:hint="eastAsia" w:ascii="仿宋_GB2312" w:eastAsia="仿宋_GB2312" w:hAnsiTheme="minorHAnsi" w:cstheme="minorBidi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</w:rPr>
        <w:t>22</w:t>
      </w:r>
      <w:r>
        <w:rPr>
          <w:rFonts w:hint="eastAsia" w:ascii="仿宋_GB2312" w:eastAsia="仿宋_GB2312" w:hAnsiTheme="minorHAnsi" w:cstheme="minorBidi"/>
          <w:b w:val="0"/>
          <w:bCs w:val="0"/>
          <w:color w:val="000000" w:themeColor="text1"/>
          <w:kern w:val="2"/>
          <w:sz w:val="32"/>
          <w:szCs w:val="32"/>
          <w:lang w:eastAsia="zh-CN" w:bidi="ar"/>
        </w:rPr>
        <w:t>〕</w:t>
      </w:r>
      <w:r>
        <w:rPr>
          <w:rFonts w:hint="eastAsia" w:ascii="仿宋_GB2312" w:eastAsia="仿宋_GB2312" w:hAnsiTheme="minorHAnsi" w:cstheme="minorBidi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</w:rPr>
        <w:t>3号</w:t>
      </w:r>
      <w:r>
        <w:rPr>
          <w:rFonts w:hint="eastAsia" w:ascii="仿宋_GB2312" w:eastAsia="仿宋_GB2312" w:hAnsiTheme="minorHAnsi" w:cstheme="minorBidi"/>
          <w:b w:val="0"/>
          <w:bCs w:val="0"/>
          <w:color w:val="000000" w:themeColor="text1"/>
          <w:kern w:val="2"/>
          <w:sz w:val="32"/>
          <w:szCs w:val="32"/>
          <w:lang w:eastAsia="zh-CN" w:bidi="ar"/>
        </w:rPr>
        <w:t>）（</w:t>
      </w:r>
      <w:r>
        <w:rPr>
          <w:rFonts w:hint="eastAsia" w:ascii="仿宋_GB2312" w:eastAsia="仿宋_GB2312" w:hAnsiTheme="minorHAnsi" w:cstheme="minorBidi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</w:rPr>
        <w:t>以下简称“管理办法”）</w:t>
      </w:r>
      <w:r>
        <w:rPr>
          <w:rFonts w:hint="eastAsia" w:ascii="仿宋_GB2312" w:eastAsia="仿宋_GB2312" w:cstheme="minorBidi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</w:rPr>
        <w:t>等</w:t>
      </w:r>
      <w:r>
        <w:rPr>
          <w:rFonts w:hint="eastAsia" w:ascii="仿宋_GB2312" w:eastAsia="仿宋_GB2312" w:hAnsiTheme="minorHAnsi" w:cstheme="minorBidi"/>
          <w:b w:val="0"/>
          <w:bCs w:val="0"/>
          <w:color w:val="000000" w:themeColor="text1"/>
          <w:kern w:val="2"/>
          <w:sz w:val="32"/>
          <w:szCs w:val="32"/>
          <w:lang w:eastAsia="zh-CN" w:bidi="ar"/>
        </w:rPr>
        <w:t>文件</w:t>
      </w:r>
      <w:r>
        <w:rPr>
          <w:rFonts w:hint="eastAsia" w:ascii="仿宋_GB2312" w:eastAsia="仿宋_GB2312" w:cstheme="minorBidi"/>
          <w:b w:val="0"/>
          <w:bCs w:val="0"/>
          <w:color w:val="000000" w:themeColor="text1"/>
          <w:kern w:val="2"/>
          <w:sz w:val="32"/>
          <w:szCs w:val="32"/>
          <w:lang w:val="en-US" w:eastAsia="zh-CN" w:bidi="ar"/>
        </w:rPr>
        <w:t>精神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，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为做好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年学士学位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授权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专业审核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及质量评估工作，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现将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相关事宜补充通知如下：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  <w:t>一、新增学士学位授予专业授权审核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</w:rPr>
        <w:t>（一）审核对象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年度我校拟申请增列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数学与应用数学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、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智能科学与技术、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护理学、康复治疗学、健康服务与管理、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网络与新媒体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、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工程管理、视觉传达设计等8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个学士学位授予专业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</w:rPr>
        <w:t>（二）审核程序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contextualSpacing/>
        <w:jc w:val="both"/>
        <w:textAlignment w:val="auto"/>
        <w:rPr>
          <w:rFonts w:hint="default" w:ascii="仿宋_GB2312" w:eastAsia="仿宋_GB2312"/>
          <w:b w:val="0"/>
          <w:bCs w:val="0"/>
          <w:color w:val="000000" w:themeColor="text1"/>
          <w:sz w:val="32"/>
          <w:szCs w:val="32"/>
          <w:lang w:val="en-US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各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专业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认真学习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管理办法”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文件精神，领会授权专业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审核标准要求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，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填写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福建省申请新增学士学位授权专业简况表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》（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见附件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做好评估支撑材料的准备、归档及装盒，支撑材料目录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可参考附件2。简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况表及支撑材料完成时间为2022年10月30日，经学院审核后同步将简况表报至教务处。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2.教务处根据专业准备情况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开展预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审核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工作，抽查相关专业支撑材料，并听取专业负责人现场汇报，对申请新增授予专业进行预评审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根据预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评审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结果，对评估申报材料进行整改、完善。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default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3.各学院拟定迎评工作方案，报教务处审定，于2022年11月组织专家组对拟申请</w:t>
      </w:r>
      <w:r>
        <w:rPr>
          <w:rFonts w:ascii="仿宋_GB2312" w:eastAsia="仿宋_GB2312"/>
          <w:b w:val="0"/>
          <w:bCs w:val="0"/>
          <w:color w:val="000000" w:themeColor="text1"/>
          <w:sz w:val="32"/>
          <w:szCs w:val="32"/>
        </w:rPr>
        <w:t>增列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学士学位授权专业进行实地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预评议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，条件成熟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专业可提早安排实地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预评议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学校召开学位评定委员会会议，对拟申请</w:t>
      </w:r>
      <w:r>
        <w:rPr>
          <w:rFonts w:ascii="仿宋_GB2312" w:eastAsia="仿宋_GB2312"/>
          <w:b w:val="0"/>
          <w:bCs w:val="0"/>
          <w:color w:val="000000" w:themeColor="text1"/>
          <w:sz w:val="32"/>
          <w:szCs w:val="32"/>
        </w:rPr>
        <w:t>增列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学士学位授权专业进行审议和表决，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将表决结果报学校党委常委会研究。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default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5.学校党委常委会研究同意后，对申请材料进行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公示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公示结束后将授权审核申请报告、《福建省申请新增学士学位授权专业汇总表》、《福建省申请新增学士学位授权专业简况表》报省学位办。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  <w:t>二、开展学士学位授权专业质量评估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eastAsia="zh-CN"/>
        </w:rPr>
        <w:t>（一）评估对象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电子信息工程、通信工程、网络工程、物联网工程、计算机科学与技术、土木工程、软件工程、工程造价、建筑电气与智能化、广告学、生物技术、国际经济与贸易、金融工程、物流管理、电子商务、财务管理、投资学、商务英语、经济学、审计学等20个学校已获得学士学位授予权的本科专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:lang w:val="en-US" w:eastAsia="zh-CN"/>
        </w:rPr>
        <w:t>（二）评估程序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.各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二级学院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对照《福建省学士学位授权专业审核标准》和《普通高等学校本科专业类教学质量国家标准》分别对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相关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专业进行自评，填写《福建省学士学位授权专业自评情况汇总表》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附件3）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、《福建省学士学位授权专业专任教师基本情况汇总表》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附件4）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，并形成自评报告，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经学院审核后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于2022年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日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eastAsia="zh-CN"/>
        </w:rPr>
        <w:t>前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报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  <w:lang w:eastAsia="zh-CN"/>
        </w:rPr>
        <w:t>教务处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tabs>
          <w:tab w:val="left" w:pos="1701"/>
          <w:tab w:val="left" w:pos="4830"/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2.教务处审核专业自评材料，完成材料报送工作。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省学位办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将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组织进行质量抽检，对未达到《福建省学士学位授权专业审核标准》和《普通高等学校本科专业类教学质量国家标准》要求，或存在质量问题的学士学位授权专业，将采取工作约谈、限制招生、停止招生、撤销授权等措施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  <w:t>三、工作要求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一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各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二级学院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要高度重视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</w:rPr>
        <w:t>认真审查各专业申报材料和自评材料，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认真做好相关专业学士学位授权审核和质量评估工作，提高学士学位授予质量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contextualSpacing/>
        <w:jc w:val="both"/>
        <w:textAlignment w:val="auto"/>
        <w:rPr>
          <w:rFonts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请各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二级学院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将相关材料纸质版一式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份按时报送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教务处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，电子版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PDF盖章版和word/excel版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发送至邮箱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hly11671 @gmiot.com)，电子邮件命名规则为“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学院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+学士学位授权审核及质量评估”。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福建省申请新增学士学位授权专业简况表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16" w:leftChars="760" w:hanging="320" w:hangingChars="100"/>
        <w:contextualSpacing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2.福州理工学院学士学位授权评审专业支撑材料目录（参考）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00" w:firstLineChars="5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福建省学士学位授权专业自评情况汇总表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16" w:leftChars="760" w:hanging="320" w:hangingChars="1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福建省学士学位授权专业专任教师基本情况汇总表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00" w:firstLineChars="500"/>
        <w:contextualSpacing/>
        <w:jc w:val="both"/>
        <w:textAlignment w:val="auto"/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5.福建省学士学位授权专业质量自评报告（提纲）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16" w:leftChars="760" w:hanging="320" w:hangingChars="100"/>
        <w:contextualSpacing/>
        <w:jc w:val="both"/>
        <w:textAlignment w:val="auto"/>
        <w:rPr>
          <w:rFonts w:ascii="仿宋_GB2312" w:eastAsia="仿宋_GB2312"/>
          <w:b w:val="0"/>
          <w:bCs w:val="0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福建省学位委员会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办公室关于做好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202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年学士学位授予专业审核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  <w:lang w:eastAsia="zh-CN"/>
        </w:rPr>
        <w:t>及质量评估工作</w:t>
      </w:r>
      <w:r>
        <w:rPr>
          <w:rFonts w:hint="eastAsia" w:ascii="仿宋_GB2312" w:eastAsia="仿宋_GB2312"/>
          <w:b w:val="0"/>
          <w:bCs w:val="0"/>
          <w:color w:val="000000" w:themeColor="text1"/>
          <w:sz w:val="32"/>
          <w:szCs w:val="32"/>
        </w:rPr>
        <w:t>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contextualSpacing/>
        <w:jc w:val="both"/>
        <w:textAlignment w:val="auto"/>
        <w:rPr>
          <w:rFonts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840" w:rightChars="400" w:firstLine="640" w:firstLineChars="200"/>
        <w:contextualSpacing/>
        <w:jc w:val="right"/>
        <w:textAlignment w:val="auto"/>
        <w:rPr>
          <w:rFonts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 xml:space="preserve">福州理工学院教务处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5440" w:firstLineChars="1700"/>
        <w:contextualSpacing/>
        <w:jc w:val="both"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</w:rPr>
        <w:t>日</w:t>
      </w:r>
    </w:p>
    <w:p>
      <w:pPr>
        <w:widowControl/>
        <w:spacing w:line="600" w:lineRule="exact"/>
        <w:contextualSpacing/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</w:rPr>
      </w:pPr>
    </w:p>
    <w:p>
      <w:pPr>
        <w:widowControl/>
        <w:spacing w:line="600" w:lineRule="exact"/>
        <w:contextualSpacing/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</w:rPr>
      </w:pPr>
    </w:p>
    <w:p>
      <w:pPr>
        <w:widowControl/>
        <w:spacing w:line="600" w:lineRule="exact"/>
        <w:contextualSpacing/>
        <w:rPr>
          <w:rFonts w:hint="eastAsia" w:ascii="仿宋_GB2312" w:hAnsi="Times New Roman" w:eastAsia="仿宋_GB2312" w:cs="Times New Roman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contextualSpacing/>
        <w:textAlignment w:val="auto"/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both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福州理工学院教务处 </w:t>
      </w:r>
      <w:r>
        <w:rPr>
          <w:rFonts w:ascii="仿宋_GB2312" w:hAnsi="仿宋" w:eastAsia="仿宋_GB2312"/>
          <w:sz w:val="28"/>
          <w:szCs w:val="28"/>
        </w:rPr>
        <w:t xml:space="preserve">             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</w:t>
      </w:r>
      <w:r>
        <w:rPr>
          <w:rFonts w:ascii="仿宋_GB2312" w:hAnsi="仿宋" w:eastAsia="仿宋_GB2312"/>
          <w:sz w:val="28"/>
          <w:szCs w:val="28"/>
        </w:rPr>
        <w:t xml:space="preserve">   20</w:t>
      </w:r>
      <w:r>
        <w:rPr>
          <w:rFonts w:hint="eastAsia" w:ascii="仿宋_GB2312" w:hAnsi="仿宋" w:eastAsia="仿宋_GB2312"/>
          <w:sz w:val="28"/>
          <w:szCs w:val="28"/>
        </w:rPr>
        <w:t>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</w:t>
      </w:r>
      <w:r>
        <w:rPr>
          <w:rFonts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9</w:t>
      </w:r>
      <w:r>
        <w:rPr>
          <w:rFonts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23</w:t>
      </w:r>
      <w:r>
        <w:rPr>
          <w:rFonts w:hint="eastAsia" w:ascii="仿宋_GB2312" w:hAnsi="仿宋" w:eastAsia="仿宋_GB2312"/>
          <w:sz w:val="28"/>
          <w:szCs w:val="28"/>
        </w:rPr>
        <w:t>日印发</w:t>
      </w: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8"/>
      </w:rPr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ascii="宋体" w:hAnsi="宋体" w:eastAsiaTheme="minorEastAsia"/>
                    <w:sz w:val="28"/>
                  </w:rPr>
                </w:pPr>
                <w:r>
                  <w:rPr>
                    <w:rFonts w:ascii="宋体" w:hAnsi="宋体" w:eastAsiaTheme="minorEastAsia"/>
                    <w:sz w:val="28"/>
                  </w:rPr>
                  <w:fldChar w:fldCharType="begin"/>
                </w:r>
                <w:r>
                  <w:rPr>
                    <w:rFonts w:ascii="宋体" w:hAnsi="宋体" w:eastAsiaTheme="minorEastAsia"/>
                    <w:sz w:val="28"/>
                  </w:rPr>
                  <w:instrText xml:space="preserve"> PAGE  \* MERGEFORMAT </w:instrText>
                </w:r>
                <w:r>
                  <w:rPr>
                    <w:rFonts w:ascii="宋体" w:hAnsi="宋体" w:eastAsiaTheme="minorEastAsia"/>
                    <w:sz w:val="28"/>
                  </w:rPr>
                  <w:fldChar w:fldCharType="separate"/>
                </w:r>
                <w:r>
                  <w:rPr>
                    <w:rFonts w:ascii="宋体" w:hAnsi="宋体" w:eastAsiaTheme="minorEastAsia"/>
                    <w:sz w:val="28"/>
                  </w:rPr>
                  <w:t>1</w:t>
                </w:r>
                <w:r>
                  <w:rPr>
                    <w:rFonts w:ascii="宋体" w:hAnsi="宋体" w:eastAsiaTheme="minorEastAsia"/>
                    <w:sz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kwODc5Y2I0MDM2ODI3YjE2NTM3NDU4YjEwNjc0ZmIifQ=="/>
  </w:docVars>
  <w:rsids>
    <w:rsidRoot w:val="00172D82"/>
    <w:rsid w:val="000028A3"/>
    <w:rsid w:val="00026483"/>
    <w:rsid w:val="00034856"/>
    <w:rsid w:val="00070E50"/>
    <w:rsid w:val="0008021C"/>
    <w:rsid w:val="00087D2B"/>
    <w:rsid w:val="000A6BA7"/>
    <w:rsid w:val="000C17E0"/>
    <w:rsid w:val="000F2A75"/>
    <w:rsid w:val="00121C51"/>
    <w:rsid w:val="00172D82"/>
    <w:rsid w:val="001877B9"/>
    <w:rsid w:val="001A44F6"/>
    <w:rsid w:val="001B57B9"/>
    <w:rsid w:val="001F1050"/>
    <w:rsid w:val="001F59BB"/>
    <w:rsid w:val="00270378"/>
    <w:rsid w:val="00286AFE"/>
    <w:rsid w:val="002F4B7A"/>
    <w:rsid w:val="00315BF9"/>
    <w:rsid w:val="00333E08"/>
    <w:rsid w:val="0034563A"/>
    <w:rsid w:val="003B1464"/>
    <w:rsid w:val="0043398D"/>
    <w:rsid w:val="00487DCA"/>
    <w:rsid w:val="004B1E83"/>
    <w:rsid w:val="004B390F"/>
    <w:rsid w:val="004B6E7B"/>
    <w:rsid w:val="004C2714"/>
    <w:rsid w:val="00512826"/>
    <w:rsid w:val="00591459"/>
    <w:rsid w:val="00664638"/>
    <w:rsid w:val="006A4611"/>
    <w:rsid w:val="006B3013"/>
    <w:rsid w:val="00714582"/>
    <w:rsid w:val="00760E41"/>
    <w:rsid w:val="00773AFF"/>
    <w:rsid w:val="00773C32"/>
    <w:rsid w:val="00781DF6"/>
    <w:rsid w:val="007B4094"/>
    <w:rsid w:val="007C1F3C"/>
    <w:rsid w:val="0080153D"/>
    <w:rsid w:val="0083002D"/>
    <w:rsid w:val="00856A06"/>
    <w:rsid w:val="00881C96"/>
    <w:rsid w:val="008A1A0B"/>
    <w:rsid w:val="008A31F7"/>
    <w:rsid w:val="008F5BE3"/>
    <w:rsid w:val="009A1CC9"/>
    <w:rsid w:val="009C5849"/>
    <w:rsid w:val="009D582E"/>
    <w:rsid w:val="009F3DEE"/>
    <w:rsid w:val="00A561BC"/>
    <w:rsid w:val="00A81FF7"/>
    <w:rsid w:val="00AA33F6"/>
    <w:rsid w:val="00AE4CD2"/>
    <w:rsid w:val="00B02683"/>
    <w:rsid w:val="00B22AAF"/>
    <w:rsid w:val="00B310E6"/>
    <w:rsid w:val="00B339DA"/>
    <w:rsid w:val="00BA0710"/>
    <w:rsid w:val="00BE7D09"/>
    <w:rsid w:val="00C14F65"/>
    <w:rsid w:val="00C37734"/>
    <w:rsid w:val="00C71189"/>
    <w:rsid w:val="00CB0D97"/>
    <w:rsid w:val="00CE1153"/>
    <w:rsid w:val="00CF5FA8"/>
    <w:rsid w:val="00D247B4"/>
    <w:rsid w:val="00D31215"/>
    <w:rsid w:val="00D555DB"/>
    <w:rsid w:val="00D73F24"/>
    <w:rsid w:val="00D85AC7"/>
    <w:rsid w:val="00D97F8A"/>
    <w:rsid w:val="00DB564E"/>
    <w:rsid w:val="00DC0423"/>
    <w:rsid w:val="00DE4E6C"/>
    <w:rsid w:val="00DF4AAD"/>
    <w:rsid w:val="00E34C2C"/>
    <w:rsid w:val="00E52AEE"/>
    <w:rsid w:val="00E96204"/>
    <w:rsid w:val="00EE02C5"/>
    <w:rsid w:val="00EF12C9"/>
    <w:rsid w:val="00F13096"/>
    <w:rsid w:val="00F66CA6"/>
    <w:rsid w:val="00F85CDB"/>
    <w:rsid w:val="00F97A94"/>
    <w:rsid w:val="00FA5512"/>
    <w:rsid w:val="00FE3538"/>
    <w:rsid w:val="00FF6B2E"/>
    <w:rsid w:val="02C47A49"/>
    <w:rsid w:val="04424113"/>
    <w:rsid w:val="07E506DD"/>
    <w:rsid w:val="0A4707FD"/>
    <w:rsid w:val="0C360B29"/>
    <w:rsid w:val="0C8750D6"/>
    <w:rsid w:val="1035177B"/>
    <w:rsid w:val="16783AEC"/>
    <w:rsid w:val="19D96F98"/>
    <w:rsid w:val="1BE765ED"/>
    <w:rsid w:val="1F6F56C4"/>
    <w:rsid w:val="203F7E12"/>
    <w:rsid w:val="24782AB8"/>
    <w:rsid w:val="2EF10397"/>
    <w:rsid w:val="30744C88"/>
    <w:rsid w:val="30F93D50"/>
    <w:rsid w:val="31014858"/>
    <w:rsid w:val="3110372A"/>
    <w:rsid w:val="322E5FF9"/>
    <w:rsid w:val="33FB58DE"/>
    <w:rsid w:val="35A605DB"/>
    <w:rsid w:val="3D3B749E"/>
    <w:rsid w:val="3F874405"/>
    <w:rsid w:val="445826E4"/>
    <w:rsid w:val="45FE618C"/>
    <w:rsid w:val="464473C4"/>
    <w:rsid w:val="46C8173E"/>
    <w:rsid w:val="4F206B62"/>
    <w:rsid w:val="4F440F65"/>
    <w:rsid w:val="53F31D54"/>
    <w:rsid w:val="579B322E"/>
    <w:rsid w:val="597960B3"/>
    <w:rsid w:val="634618E2"/>
    <w:rsid w:val="6CBE10EF"/>
    <w:rsid w:val="72827920"/>
    <w:rsid w:val="7353544A"/>
    <w:rsid w:val="78073AFA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2">
    <w:name w:val="_Style 8"/>
    <w:basedOn w:val="1"/>
    <w:next w:val="1"/>
    <w:qFormat/>
    <w:uiPriority w:val="39"/>
    <w:pPr>
      <w:spacing w:line="300" w:lineRule="auto"/>
      <w:ind w:left="210"/>
      <w:jc w:val="left"/>
    </w:pPr>
    <w:rPr>
      <w:rFonts w:ascii="Times New Roman" w:hAnsi="Times New Roman" w:eastAsia="仿宋_GB2312" w:cs="Times New Roman"/>
      <w:smallCaps/>
      <w:sz w:val="28"/>
      <w:szCs w:val="20"/>
    </w:rPr>
  </w:style>
  <w:style w:type="character" w:customStyle="1" w:styleId="13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1490</Words>
  <Characters>1579</Characters>
  <Lines>97</Lines>
  <Paragraphs>27</Paragraphs>
  <TotalTime>37</TotalTime>
  <ScaleCrop>false</ScaleCrop>
  <LinksUpToDate>false</LinksUpToDate>
  <CharactersWithSpaces>1723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2019-03-11T02:27:00Z</dcterms:created>
  <dc:creator>PC</dc:creator>
  <cp:lastModifiedBy>C a i</cp:lastModifiedBy>
  <cp:lastPrinted>2021-03-03T06:42:00Z</cp:lastPrinted>
  <dcterms:modified xsi:type="dcterms:W3CDTF">2022-09-23T09:17:19Z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37AAEF2E9FC049F2B3CAE6EE76DD07FC</vt:lpwstr>
  </property>
</Properties>
</file>