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spacing w:line="600" w:lineRule="exact"/>
        <w:contextualSpacing/>
        <w:jc w:val="center"/>
        <w:rPr>
          <w:rFonts w:ascii="仿宋_GB2312" w:eastAsia="仿宋_GB2312"/>
          <w:sz w:val="32"/>
          <w:szCs w:val="32"/>
        </w:rPr>
      </w:pPr>
      <w:r>
        <w:rPr>
          <w:rFonts w:hint="eastAsia" w:ascii="仿宋_GB2312" w:eastAsia="仿宋_GB2312"/>
          <w:sz w:val="32"/>
          <w:szCs w:val="32"/>
        </w:rPr>
        <w:t>福理工教〔2</w:t>
      </w:r>
      <w:r>
        <w:rPr>
          <w:rFonts w:ascii="仿宋_GB2312" w:eastAsia="仿宋_GB2312"/>
          <w:sz w:val="32"/>
          <w:szCs w:val="32"/>
        </w:rPr>
        <w:t>0</w:t>
      </w:r>
      <w:r>
        <w:rPr>
          <w:rFonts w:hint="eastAsia" w:ascii="仿宋_GB2312" w:eastAsia="仿宋_GB2312"/>
          <w:sz w:val="32"/>
          <w:szCs w:val="32"/>
        </w:rPr>
        <w:t>22〕</w:t>
      </w:r>
      <w:r>
        <w:rPr>
          <w:rFonts w:hint="eastAsia" w:ascii="仿宋_GB2312" w:eastAsia="仿宋_GB2312"/>
          <w:sz w:val="32"/>
          <w:szCs w:val="32"/>
          <w:lang w:val="en-US" w:eastAsia="zh-CN"/>
        </w:rPr>
        <w:t>98</w:t>
      </w:r>
      <w:r>
        <w:rPr>
          <w:rFonts w:hint="eastAsia" w:ascii="仿宋_GB2312" w:eastAsia="仿宋_GB2312"/>
          <w:sz w:val="32"/>
          <w:szCs w:val="32"/>
        </w:rPr>
        <w:t>号</w:t>
      </w:r>
    </w:p>
    <w:p>
      <w:pPr>
        <w:tabs>
          <w:tab w:val="left" w:pos="8640"/>
        </w:tabs>
        <w:spacing w:line="240" w:lineRule="exact"/>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tabs>
          <w:tab w:val="left" w:pos="7560"/>
        </w:tabs>
        <w:spacing w:line="400" w:lineRule="exact"/>
        <w:rPr>
          <w:rFonts w:ascii="宋体" w:hAnsi="宋体" w:cs="宋体"/>
          <w:sz w:val="32"/>
          <w:szCs w:val="32"/>
        </w:rPr>
      </w:pPr>
    </w:p>
    <w:p>
      <w:pPr>
        <w:spacing w:line="700" w:lineRule="exact"/>
        <w:jc w:val="center"/>
        <w:rPr>
          <w:rFonts w:hint="eastAsia" w:ascii="方正小标宋简体" w:eastAsia="方正小标宋简体"/>
          <w:sz w:val="44"/>
          <w:szCs w:val="44"/>
        </w:rPr>
      </w:pPr>
      <w:r>
        <w:rPr>
          <w:rFonts w:hint="eastAsia" w:ascii="方正小标宋简体" w:eastAsia="方正小标宋简体"/>
          <w:sz w:val="44"/>
          <w:szCs w:val="44"/>
        </w:rPr>
        <w:t>关于开展2022-2023学年素质拓展与</w:t>
      </w:r>
    </w:p>
    <w:p>
      <w:pPr>
        <w:spacing w:line="700" w:lineRule="exact"/>
        <w:jc w:val="center"/>
        <w:rPr>
          <w:rFonts w:ascii="方正小标宋简体" w:eastAsia="方正小标宋简体"/>
          <w:sz w:val="44"/>
        </w:rPr>
      </w:pPr>
      <w:r>
        <w:rPr>
          <w:rFonts w:hint="eastAsia" w:ascii="方正小标宋简体" w:eastAsia="方正小标宋简体"/>
          <w:sz w:val="44"/>
          <w:szCs w:val="44"/>
        </w:rPr>
        <w:t>劳动教育学分认定工作的通知</w:t>
      </w:r>
    </w:p>
    <w:p>
      <w:pPr>
        <w:spacing w:line="400" w:lineRule="exact"/>
        <w:rPr>
          <w:rFonts w:ascii="仿宋_GB2312" w:eastAsia="仿宋_GB2312"/>
          <w:b/>
          <w:sz w:val="32"/>
          <w:szCs w:val="32"/>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各二级学院：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40" w:firstLineChars="200"/>
        <w:textAlignment w:val="auto"/>
        <w:rPr>
          <w:rFonts w:ascii="仿宋_GB2312" w:hAnsi="宋体" w:eastAsia="仿宋_GB2312" w:cs="宋体"/>
          <w:color w:val="000000"/>
          <w:kern w:val="0"/>
          <w:sz w:val="32"/>
          <w:szCs w:val="32"/>
        </w:rPr>
      </w:pPr>
      <w:r>
        <w:rPr>
          <w:rFonts w:hint="eastAsia" w:ascii="仿宋_GB2312" w:hAnsi="华文仿宋" w:eastAsia="仿宋_GB2312" w:cs="华文仿宋"/>
          <w:sz w:val="32"/>
          <w:szCs w:val="32"/>
        </w:rPr>
        <w:t>为</w:t>
      </w:r>
      <w:r>
        <w:rPr>
          <w:rFonts w:hint="eastAsia" w:ascii="仿宋_GB2312" w:eastAsia="仿宋_GB2312"/>
          <w:sz w:val="32"/>
          <w:szCs w:val="32"/>
        </w:rPr>
        <w:t>了解学生参与大学生素质拓展与劳动教育活动情况，</w:t>
      </w:r>
      <w:r>
        <w:rPr>
          <w:rFonts w:ascii="仿宋_GB2312" w:hAnsi="华文仿宋" w:eastAsia="仿宋_GB2312" w:cs="华文仿宋"/>
          <w:sz w:val="32"/>
          <w:szCs w:val="32"/>
        </w:rPr>
        <w:t>促进学生德智体美劳全面发展</w:t>
      </w:r>
      <w:r>
        <w:rPr>
          <w:rFonts w:hint="eastAsia" w:ascii="仿宋_GB2312" w:hAnsi="华文仿宋" w:eastAsia="仿宋_GB2312" w:cs="华文仿宋"/>
          <w:sz w:val="32"/>
          <w:szCs w:val="32"/>
        </w:rPr>
        <w:t>，</w:t>
      </w:r>
      <w:r>
        <w:rPr>
          <w:rFonts w:hint="eastAsia" w:ascii="仿宋_GB2312" w:hAnsi="宋体" w:eastAsia="仿宋_GB2312" w:cs="宋体"/>
          <w:color w:val="000000"/>
          <w:kern w:val="0"/>
          <w:sz w:val="32"/>
          <w:szCs w:val="32"/>
        </w:rPr>
        <w:t>根据</w:t>
      </w:r>
      <w:r>
        <w:rPr>
          <w:rFonts w:hint="eastAsia" w:ascii="仿宋_GB2312" w:hAnsi="华文仿宋" w:eastAsia="仿宋_GB2312" w:cs="华文仿宋"/>
          <w:sz w:val="32"/>
          <w:szCs w:val="32"/>
        </w:rPr>
        <w:t>《福州理工学院素质拓展与劳动教育学分实施方案》</w:t>
      </w:r>
      <w:r>
        <w:rPr>
          <w:rFonts w:hint="eastAsia" w:ascii="仿宋_GB2312" w:hAnsi="宋体" w:eastAsia="仿宋_GB2312" w:cs="宋体"/>
          <w:color w:val="000000"/>
          <w:kern w:val="0"/>
          <w:sz w:val="32"/>
          <w:szCs w:val="32"/>
        </w:rPr>
        <w:t>（</w:t>
      </w:r>
      <w:r>
        <w:rPr>
          <w:rFonts w:hint="eastAsia" w:ascii="仿宋_GB2312" w:hAnsi="华文仿宋" w:eastAsia="仿宋_GB2312" w:cs="华文仿宋"/>
          <w:sz w:val="32"/>
          <w:szCs w:val="32"/>
        </w:rPr>
        <w:t>福理工综〔2021〕197号</w:t>
      </w:r>
      <w:r>
        <w:rPr>
          <w:rFonts w:hint="eastAsia" w:ascii="仿宋_GB2312" w:hAnsi="宋体" w:eastAsia="仿宋_GB2312" w:cs="宋体"/>
          <w:color w:val="000000"/>
          <w:kern w:val="0"/>
          <w:sz w:val="32"/>
          <w:szCs w:val="32"/>
        </w:rPr>
        <w:t>），现开展2022-2023学年素质拓展与劳动教育学分认定工作，具体通知如下：</w:t>
      </w:r>
    </w:p>
    <w:p>
      <w:pPr>
        <w:pStyle w:val="10"/>
        <w:keepNext w:val="0"/>
        <w:keepLines w:val="0"/>
        <w:pageBreakBefore w:val="0"/>
        <w:kinsoku/>
        <w:wordWrap/>
        <w:overflowPunct/>
        <w:topLinePunct w:val="0"/>
        <w:autoSpaceDE/>
        <w:autoSpaceDN/>
        <w:bidi w:val="0"/>
        <w:adjustRightInd/>
        <w:snapToGrid/>
        <w:spacing w:line="240" w:lineRule="auto"/>
        <w:ind w:left="0" w:leftChars="0" w:right="0" w:rightChars="0" w:firstLine="640"/>
        <w:textAlignment w:val="auto"/>
        <w:rPr>
          <w:rFonts w:ascii="黑体" w:hAnsi="黑体" w:eastAsia="黑体" w:cs="黑体"/>
          <w:bCs/>
          <w:sz w:val="32"/>
          <w:szCs w:val="32"/>
        </w:rPr>
      </w:pPr>
      <w:r>
        <w:rPr>
          <w:rFonts w:hint="eastAsia" w:ascii="黑体" w:hAnsi="黑体" w:eastAsia="黑体" w:cs="黑体"/>
          <w:bCs/>
          <w:sz w:val="32"/>
          <w:szCs w:val="32"/>
        </w:rPr>
        <w:t>一、认定对象</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2020级、2021级本科生。</w:t>
      </w:r>
    </w:p>
    <w:p>
      <w:pPr>
        <w:pStyle w:val="10"/>
        <w:keepNext w:val="0"/>
        <w:keepLines w:val="0"/>
        <w:pageBreakBefore w:val="0"/>
        <w:kinsoku/>
        <w:wordWrap/>
        <w:overflowPunct/>
        <w:topLinePunct w:val="0"/>
        <w:autoSpaceDE/>
        <w:autoSpaceDN/>
        <w:bidi w:val="0"/>
        <w:adjustRightInd/>
        <w:snapToGrid/>
        <w:spacing w:line="240" w:lineRule="auto"/>
        <w:ind w:left="0" w:leftChars="0" w:right="0" w:rightChars="0" w:firstLine="640"/>
        <w:textAlignment w:val="auto"/>
        <w:rPr>
          <w:rFonts w:ascii="黑体" w:hAnsi="黑体" w:eastAsia="黑体" w:cs="黑体"/>
          <w:bCs/>
          <w:sz w:val="32"/>
          <w:szCs w:val="32"/>
        </w:rPr>
      </w:pPr>
      <w:r>
        <w:rPr>
          <w:rFonts w:hint="eastAsia" w:ascii="黑体" w:hAnsi="黑体" w:eastAsia="黑体" w:cs="黑体"/>
          <w:bCs/>
          <w:sz w:val="32"/>
          <w:szCs w:val="32"/>
        </w:rPr>
        <w:t xml:space="preserve">二、认定范围 </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2020级、2021级本科生在2020年9月1日至2022年8月31日期间所参与的素质拓展与劳动教育活动均可参与认定。学生每学年参与的素质拓展周活动课程无需参与认定，由教务处统一认定。</w:t>
      </w:r>
    </w:p>
    <w:p>
      <w:pPr>
        <w:pStyle w:val="10"/>
        <w:keepNext w:val="0"/>
        <w:keepLines w:val="0"/>
        <w:pageBreakBefore w:val="0"/>
        <w:kinsoku/>
        <w:wordWrap/>
        <w:overflowPunct/>
        <w:topLinePunct w:val="0"/>
        <w:autoSpaceDE/>
        <w:autoSpaceDN/>
        <w:bidi w:val="0"/>
        <w:adjustRightInd/>
        <w:snapToGrid/>
        <w:spacing w:line="240" w:lineRule="auto"/>
        <w:ind w:left="0" w:leftChars="0" w:right="0" w:rightChars="0" w:firstLine="640"/>
        <w:textAlignment w:val="auto"/>
        <w:rPr>
          <w:rFonts w:ascii="黑体" w:hAnsi="黑体" w:eastAsia="黑体" w:cs="黑体"/>
          <w:bCs/>
          <w:sz w:val="32"/>
          <w:szCs w:val="32"/>
        </w:rPr>
      </w:pPr>
      <w:r>
        <w:rPr>
          <w:rFonts w:hint="eastAsia" w:ascii="黑体" w:hAnsi="黑体" w:eastAsia="黑体" w:cs="黑体"/>
          <w:bCs/>
          <w:sz w:val="32"/>
          <w:szCs w:val="32"/>
        </w:rPr>
        <w:t xml:space="preserve">三、认定流程 </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hint="eastAsia" w:ascii="楷体" w:hAnsi="楷体" w:eastAsia="楷体" w:cs="楷体"/>
          <w:color w:val="000000"/>
          <w:sz w:val="32"/>
          <w:szCs w:val="32"/>
        </w:rPr>
      </w:pPr>
      <w:r>
        <w:rPr>
          <w:rFonts w:hint="eastAsia" w:ascii="楷体" w:hAnsi="楷体" w:eastAsia="楷体" w:cs="楷体"/>
          <w:sz w:val="32"/>
          <w:szCs w:val="32"/>
        </w:rPr>
        <w:t>（一）</w:t>
      </w:r>
      <w:r>
        <w:rPr>
          <w:rFonts w:hint="eastAsia" w:ascii="楷体" w:hAnsi="楷体" w:eastAsia="楷体" w:cs="楷体"/>
          <w:color w:val="000000"/>
          <w:sz w:val="32"/>
          <w:szCs w:val="32"/>
        </w:rPr>
        <w:t>学生个人申报</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学生本人填写《福州理工学院2022-2023学年素质拓展与劳动教育学分认定申报表》（附件1）并附上相关证明材料至所在班级。</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（二）班级预审</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ascii="仿宋_GB2312" w:eastAsia="仿宋_GB2312"/>
          <w:sz w:val="32"/>
          <w:szCs w:val="32"/>
        </w:rPr>
      </w:pPr>
      <w:r>
        <w:rPr>
          <w:rFonts w:hint="eastAsia" w:ascii="仿宋_GB2312" w:hAnsi="仿宋_GB2312" w:eastAsia="仿宋_GB2312" w:cs="仿宋_GB2312"/>
          <w:color w:val="000000"/>
          <w:sz w:val="32"/>
          <w:szCs w:val="32"/>
        </w:rPr>
        <w:t>各个班级在学院素质拓展与劳动教育学分评定工作小组的指导下，做好预审工作</w:t>
      </w:r>
      <w:r>
        <w:rPr>
          <w:rFonts w:hint="eastAsia" w:ascii="仿宋_GB2312" w:eastAsia="仿宋_GB2312"/>
          <w:sz w:val="32"/>
          <w:szCs w:val="32"/>
        </w:rPr>
        <w:t>。</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（三）</w:t>
      </w:r>
      <w:r>
        <w:rPr>
          <w:rFonts w:hint="eastAsia" w:ascii="楷体" w:hAnsi="楷体" w:eastAsia="楷体" w:cs="楷体"/>
          <w:sz w:val="32"/>
          <w:szCs w:val="32"/>
        </w:rPr>
        <w:t>学院评定</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院素质拓展与劳动教育学分评定工作小组对预审结果进行最终评定，并在学院内公示，公示期不得少于五个工作日。对评定结果有异议的，学生可在规定时间内向工作小组提出申诉；由工作小组根据实际情况，决定是否进行重新认定，并负责向学生作出必要的解释说明。</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（四）材料报送</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ascii="仿宋_GB2312" w:eastAsia="仿宋_GB2312"/>
          <w:sz w:val="32"/>
          <w:szCs w:val="32"/>
        </w:rPr>
      </w:pPr>
      <w:r>
        <w:rPr>
          <w:rFonts w:hint="eastAsia" w:ascii="仿宋_GB2312" w:hAnsi="仿宋_GB2312" w:eastAsia="仿宋_GB2312" w:cs="仿宋_GB2312"/>
          <w:color w:val="000000"/>
          <w:sz w:val="32"/>
          <w:szCs w:val="32"/>
        </w:rPr>
        <w:t>学院将最终评定结果汇总至《福州理工学院素质拓展与劳动教育学分认定汇总表》（附件2）及公示文件</w:t>
      </w:r>
      <w:r>
        <w:rPr>
          <w:rFonts w:hint="eastAsia" w:ascii="仿宋_GB2312" w:eastAsia="仿宋_GB2312"/>
          <w:sz w:val="32"/>
          <w:szCs w:val="32"/>
        </w:rPr>
        <w:t>于10月14日前报送至教务处实践科。</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（五）学校审定</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教务处将协同学工处对评定结果进行审定，并将结果公告。</w:t>
      </w:r>
    </w:p>
    <w:p>
      <w:pPr>
        <w:pStyle w:val="10"/>
        <w:keepNext w:val="0"/>
        <w:keepLines w:val="0"/>
        <w:pageBreakBefore w:val="0"/>
        <w:kinsoku/>
        <w:wordWrap/>
        <w:overflowPunct/>
        <w:topLinePunct w:val="0"/>
        <w:autoSpaceDE/>
        <w:autoSpaceDN/>
        <w:bidi w:val="0"/>
        <w:adjustRightInd/>
        <w:snapToGrid/>
        <w:spacing w:line="240" w:lineRule="auto"/>
        <w:ind w:left="0" w:leftChars="0" w:right="0" w:rightChars="0" w:firstLine="640"/>
        <w:textAlignment w:val="auto"/>
        <w:rPr>
          <w:rFonts w:ascii="黑体" w:hAnsi="黑体" w:eastAsia="黑体" w:cs="黑体"/>
          <w:bCs/>
          <w:sz w:val="32"/>
          <w:szCs w:val="32"/>
        </w:rPr>
      </w:pPr>
      <w:r>
        <w:rPr>
          <w:rFonts w:hint="eastAsia" w:ascii="黑体" w:hAnsi="黑体" w:eastAsia="黑体" w:cs="黑体"/>
          <w:bCs/>
          <w:sz w:val="32"/>
          <w:szCs w:val="32"/>
        </w:rPr>
        <w:t xml:space="preserve">四、认定说明 </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（一）素质拓展与劳动教育学分主要是指人才培养方案中除通识及专业课程学分之外</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涵盖了思想政治与道德修养、学术科技与创新创业、社会实践与社会工作、文化艺术与体育活动、技能培训</w:t>
      </w:r>
      <w:r>
        <w:rPr>
          <w:rFonts w:hint="eastAsia" w:ascii="仿宋_GB2312" w:hAnsi="仿宋_GB2312" w:eastAsia="仿宋_GB2312" w:cs="仿宋_GB2312"/>
          <w:color w:val="000000"/>
          <w:sz w:val="32"/>
          <w:szCs w:val="32"/>
          <w:lang w:eastAsia="zh-CN"/>
        </w:rPr>
        <w:t>及其他</w:t>
      </w:r>
      <w:r>
        <w:rPr>
          <w:rFonts w:hint="eastAsia" w:ascii="仿宋_GB2312" w:hAnsi="仿宋_GB2312" w:eastAsia="仿宋_GB2312" w:cs="仿宋_GB2312"/>
          <w:color w:val="000000"/>
          <w:sz w:val="32"/>
          <w:szCs w:val="32"/>
        </w:rPr>
        <w:t>、国防教育、劳动教育等七个方面的素质学分。其中除劳动教育模块外，学生至少还需从思想政治与道德修养、学术科技与创新创业、社会实践与社会工作、文化艺术与体育活动、技能培训</w:t>
      </w:r>
      <w:r>
        <w:rPr>
          <w:rFonts w:hint="eastAsia" w:ascii="仿宋_GB2312" w:hAnsi="仿宋_GB2312" w:eastAsia="仿宋_GB2312" w:cs="仿宋_GB2312"/>
          <w:color w:val="000000"/>
          <w:sz w:val="32"/>
          <w:szCs w:val="32"/>
          <w:lang w:eastAsia="zh-CN"/>
        </w:rPr>
        <w:t>及其他</w:t>
      </w:r>
      <w:r>
        <w:rPr>
          <w:rFonts w:hint="eastAsia" w:ascii="仿宋_GB2312" w:hAnsi="仿宋_GB2312" w:eastAsia="仿宋_GB2312" w:cs="仿宋_GB2312"/>
          <w:color w:val="000000"/>
          <w:sz w:val="32"/>
          <w:szCs w:val="32"/>
        </w:rPr>
        <w:t>、国防教育等选修2个及以上模块。</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（二）在校生至少在素质拓展与劳动教育模块中选修6学分（其中劳动教育2个学分）方可毕业，素质拓展学分不计入专业学习总学分，但作为学生的毕业要求。</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（三）学院素质拓展与劳动教育学分评定工作小组由学院分管教学和分管学生工作的领导担任组长，教学管理办公室、团委书记、辅导员等组成，作为主要评定组织单位。</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（四）辅导员为所在班级学生素质拓展与劳动教育学分评定工作的责任人。每学年，教务处、学工处（部）、校团委协同对每年评定情况进行指导、检查。</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ascii="仿宋_GB2312" w:eastAsia="仿宋_GB2312"/>
          <w:sz w:val="32"/>
          <w:szCs w:val="32"/>
        </w:rPr>
      </w:pPr>
      <w:r>
        <w:rPr>
          <w:rFonts w:hint="eastAsia" w:ascii="仿宋_GB2312" w:hAnsi="仿宋_GB2312" w:eastAsia="仿宋_GB2312" w:cs="仿宋_GB2312"/>
          <w:color w:val="000000"/>
          <w:sz w:val="32"/>
          <w:szCs w:val="32"/>
        </w:rPr>
        <w:t>（五）学生最后获得的素质拓展学分，按照各个单项的得分累加计算。</w:t>
      </w:r>
      <w:r>
        <w:rPr>
          <w:rFonts w:hint="eastAsia" w:ascii="仿宋_GB2312" w:hAnsi="仿宋_GB2312" w:eastAsia="仿宋_GB2312" w:cs="仿宋_GB2312"/>
          <w:b/>
          <w:color w:val="000000"/>
          <w:sz w:val="32"/>
          <w:szCs w:val="32"/>
        </w:rPr>
        <w:t>在计算过程中，各个单项中，内容相同的项目只计最高分值，得分不累加。</w:t>
      </w:r>
      <w:r>
        <w:rPr>
          <w:rFonts w:hint="eastAsia" w:ascii="仿宋_GB2312" w:hAnsi="仿宋_GB2312" w:eastAsia="仿宋_GB2312" w:cs="仿宋_GB2312"/>
          <w:color w:val="000000"/>
          <w:sz w:val="32"/>
          <w:szCs w:val="32"/>
        </w:rPr>
        <w:t>集体项目第一、二、三完成人所取得的学分，按项目相应的折算学分数分别乘以1、0.75、0.5系数计算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其余参与者乘以0.25系数计算；当集体项目无法确认第一、二、三完成人和参与者时，报学院素质拓展学分评定工作小组研究确定。</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ascii="仿宋_GB2312" w:eastAsia="仿宋_GB2312"/>
          <w:sz w:val="32"/>
          <w:szCs w:val="32"/>
        </w:rPr>
      </w:pPr>
      <w:r>
        <w:rPr>
          <w:rFonts w:hint="eastAsia" w:ascii="仿宋_GB2312" w:eastAsia="仿宋_GB2312"/>
          <w:sz w:val="32"/>
          <w:szCs w:val="32"/>
        </w:rPr>
        <w:t>联系人：揭晓明 邮箱：jxm11632@gmiot.com，联系电话：62990014。</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240" w:lineRule="auto"/>
        <w:ind w:left="1918" w:leftChars="304" w:right="0" w:rightChars="0" w:hanging="1280" w:hangingChars="400"/>
        <w:textAlignment w:val="auto"/>
        <w:rPr>
          <w:rFonts w:hint="eastAsia" w:ascii="仿宋_GB2312" w:eastAsia="仿宋_GB2312"/>
          <w:sz w:val="32"/>
          <w:szCs w:val="32"/>
          <w:lang w:val="en-US" w:eastAsia="zh-CN"/>
        </w:rPr>
      </w:pPr>
      <w:r>
        <w:rPr>
          <w:rFonts w:hint="eastAsia" w:ascii="仿宋_GB2312" w:eastAsia="仿宋_GB2312"/>
          <w:sz w:val="32"/>
          <w:szCs w:val="32"/>
        </w:rPr>
        <w:t>附件：1.福州理工学院素质拓展与劳动教育学分认定申报表</w:t>
      </w:r>
      <w:r>
        <w:rPr>
          <w:rFonts w:hint="eastAsia" w:ascii="仿宋_GB2312" w:eastAsia="仿宋_GB2312"/>
          <w:sz w:val="32"/>
          <w:szCs w:val="32"/>
          <w:lang w:val="en-US" w:eastAsia="zh-CN"/>
        </w:rPr>
        <w:tab/>
      </w:r>
    </w:p>
    <w:p>
      <w:pPr>
        <w:keepNext w:val="0"/>
        <w:keepLines w:val="0"/>
        <w:pageBreakBefore w:val="0"/>
        <w:kinsoku/>
        <w:wordWrap/>
        <w:overflowPunct/>
        <w:topLinePunct w:val="0"/>
        <w:autoSpaceDE/>
        <w:autoSpaceDN/>
        <w:bidi w:val="0"/>
        <w:adjustRightInd/>
        <w:snapToGrid/>
        <w:spacing w:line="240" w:lineRule="auto"/>
        <w:ind w:left="0" w:leftChars="0" w:right="0" w:rightChars="0" w:firstLine="1600" w:firstLineChars="500"/>
        <w:textAlignment w:val="auto"/>
        <w:rPr>
          <w:rFonts w:ascii="仿宋_GB2312" w:eastAsia="仿宋_GB2312"/>
          <w:sz w:val="32"/>
          <w:szCs w:val="32"/>
        </w:rPr>
      </w:pPr>
      <w:r>
        <w:rPr>
          <w:rFonts w:hint="eastAsia" w:ascii="仿宋_GB2312" w:eastAsia="仿宋_GB2312"/>
          <w:sz w:val="32"/>
          <w:szCs w:val="32"/>
        </w:rPr>
        <w:t>2.福州理工学院素质拓展与劳动教育学分认定汇总</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1920" w:firstLineChars="600"/>
        <w:textAlignment w:val="auto"/>
        <w:rPr>
          <w:rFonts w:ascii="仿宋_GB2312" w:eastAsia="仿宋_GB2312"/>
          <w:sz w:val="32"/>
          <w:szCs w:val="32"/>
        </w:rPr>
      </w:pPr>
      <w:r>
        <w:rPr>
          <w:rFonts w:hint="eastAsia" w:ascii="仿宋_GB2312" w:eastAsia="仿宋_GB2312"/>
          <w:sz w:val="32"/>
          <w:szCs w:val="32"/>
        </w:rPr>
        <w:t>表</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 xml:space="preserve">                    </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240" w:lineRule="auto"/>
        <w:ind w:left="0" w:leftChars="0" w:right="0" w:rightChars="0" w:firstLine="4800" w:firstLineChars="1500"/>
        <w:textAlignment w:val="auto"/>
        <w:rPr>
          <w:rFonts w:ascii="仿宋_GB2312" w:eastAsia="仿宋_GB2312"/>
          <w:sz w:val="32"/>
          <w:szCs w:val="32"/>
        </w:rPr>
      </w:pPr>
      <w:r>
        <w:rPr>
          <w:rFonts w:hint="eastAsia" w:ascii="仿宋_GB2312" w:eastAsia="仿宋_GB2312"/>
          <w:sz w:val="32"/>
          <w:szCs w:val="32"/>
        </w:rPr>
        <w:t>福州理工学院教务处</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5120" w:firstLineChars="1600"/>
        <w:textAlignment w:val="auto"/>
        <w:rPr>
          <w:rFonts w:ascii="仿宋_GB2312" w:eastAsia="仿宋_GB2312"/>
          <w:sz w:val="32"/>
          <w:szCs w:val="32"/>
        </w:rPr>
      </w:pPr>
      <w:r>
        <w:rPr>
          <w:rFonts w:hint="eastAsia" w:ascii="仿宋_GB2312" w:eastAsia="仿宋_GB2312"/>
          <w:sz w:val="32"/>
          <w:szCs w:val="32"/>
        </w:rPr>
        <w:t>2022年9月</w:t>
      </w:r>
      <w:r>
        <w:rPr>
          <w:rFonts w:hint="eastAsia" w:ascii="仿宋_GB2312" w:eastAsia="仿宋_GB2312"/>
          <w:sz w:val="32"/>
          <w:szCs w:val="32"/>
          <w:lang w:val="en-US" w:eastAsia="zh-CN"/>
        </w:rPr>
        <w:t>14</w:t>
      </w:r>
      <w:r>
        <w:rPr>
          <w:rFonts w:hint="eastAsia" w:ascii="仿宋_GB2312" w:eastAsia="仿宋_GB2312"/>
          <w:sz w:val="32"/>
          <w:szCs w:val="32"/>
        </w:rPr>
        <w:t>日</w:t>
      </w:r>
    </w:p>
    <w:p>
      <w:pPr>
        <w:ind w:firstLine="532" w:firstLineChars="190"/>
        <w:rPr>
          <w:rFonts w:ascii="仿宋_GB2312" w:eastAsia="仿宋_GB2312"/>
          <w:sz w:val="28"/>
          <w:szCs w:val="32"/>
        </w:rPr>
      </w:pPr>
      <w:r>
        <w:rPr>
          <w:rFonts w:hint="eastAsia" w:ascii="仿宋_GB2312" w:eastAsia="仿宋_GB2312"/>
          <w:sz w:val="28"/>
          <w:szCs w:val="32"/>
        </w:rPr>
        <w:t xml:space="preserve">     </w:t>
      </w:r>
    </w:p>
    <w:p>
      <w:pPr>
        <w:ind w:firstLine="532" w:firstLineChars="190"/>
        <w:rPr>
          <w:rFonts w:ascii="仿宋_GB2312" w:eastAsia="仿宋_GB2312"/>
          <w:sz w:val="28"/>
          <w:szCs w:val="32"/>
        </w:rPr>
      </w:pPr>
    </w:p>
    <w:p>
      <w:pPr>
        <w:ind w:firstLine="532" w:firstLineChars="190"/>
        <w:rPr>
          <w:rFonts w:ascii="仿宋_GB2312" w:eastAsia="仿宋_GB2312"/>
          <w:sz w:val="28"/>
          <w:szCs w:val="32"/>
        </w:rPr>
      </w:pPr>
    </w:p>
    <w:p>
      <w:pPr>
        <w:ind w:firstLine="532" w:firstLineChars="190"/>
        <w:rPr>
          <w:rFonts w:ascii="仿宋_GB2312" w:eastAsia="仿宋_GB2312"/>
          <w:sz w:val="28"/>
          <w:szCs w:val="32"/>
        </w:rPr>
      </w:pPr>
    </w:p>
    <w:p>
      <w:pPr>
        <w:ind w:firstLine="532" w:firstLineChars="190"/>
        <w:rPr>
          <w:rFonts w:ascii="仿宋_GB2312" w:eastAsia="仿宋_GB2312"/>
          <w:sz w:val="28"/>
          <w:szCs w:val="32"/>
        </w:rPr>
      </w:pPr>
    </w:p>
    <w:p>
      <w:pPr>
        <w:ind w:firstLine="532" w:firstLineChars="190"/>
        <w:rPr>
          <w:rFonts w:ascii="仿宋_GB2312" w:eastAsia="仿宋_GB2312"/>
          <w:sz w:val="28"/>
          <w:szCs w:val="32"/>
        </w:rPr>
      </w:pPr>
    </w:p>
    <w:p>
      <w:pPr>
        <w:ind w:firstLine="532" w:firstLineChars="190"/>
        <w:rPr>
          <w:rFonts w:ascii="仿宋_GB2312" w:eastAsia="仿宋_GB2312"/>
          <w:sz w:val="28"/>
          <w:szCs w:val="32"/>
        </w:rPr>
      </w:pPr>
    </w:p>
    <w:p>
      <w:pPr>
        <w:ind w:firstLine="532" w:firstLineChars="190"/>
        <w:rPr>
          <w:rFonts w:ascii="仿宋_GB2312" w:eastAsia="仿宋_GB2312"/>
          <w:sz w:val="28"/>
          <w:szCs w:val="32"/>
        </w:rPr>
      </w:pPr>
    </w:p>
    <w:p>
      <w:pPr>
        <w:ind w:firstLine="532" w:firstLineChars="190"/>
        <w:rPr>
          <w:rFonts w:ascii="仿宋_GB2312" w:eastAsia="仿宋_GB2312"/>
          <w:sz w:val="28"/>
          <w:szCs w:val="32"/>
        </w:rPr>
      </w:pPr>
    </w:p>
    <w:p>
      <w:pPr>
        <w:ind w:firstLine="532" w:firstLineChars="190"/>
        <w:rPr>
          <w:rFonts w:ascii="仿宋_GB2312" w:eastAsia="仿宋_GB2312"/>
          <w:sz w:val="28"/>
          <w:szCs w:val="32"/>
        </w:rPr>
      </w:pPr>
    </w:p>
    <w:p>
      <w:pPr>
        <w:jc w:val="left"/>
        <w:rPr>
          <w:rFonts w:ascii="黑体" w:hAnsi="黑体" w:eastAsia="黑体" w:cs="黑体"/>
          <w:sz w:val="32"/>
          <w:szCs w:val="32"/>
        </w:rPr>
      </w:pPr>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000000"/>
          <w:spacing w:val="-2"/>
          <w:w w:val="95"/>
          <w:sz w:val="44"/>
          <w:szCs w:val="44"/>
        </w:rPr>
      </w:pPr>
      <w:r>
        <w:rPr>
          <w:rFonts w:hint="eastAsia" w:ascii="方正小标宋简体" w:hAnsi="方正小标宋简体" w:eastAsia="方正小标宋简体" w:cs="方正小标宋简体"/>
          <w:color w:val="000000"/>
          <w:spacing w:val="-2"/>
          <w:w w:val="95"/>
          <w:sz w:val="44"/>
          <w:szCs w:val="44"/>
        </w:rPr>
        <w:t>福州理工学院素质拓展与劳动教育学分</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000000"/>
          <w:spacing w:val="-2"/>
          <w:w w:val="95"/>
          <w:sz w:val="44"/>
          <w:szCs w:val="44"/>
        </w:rPr>
      </w:pPr>
      <w:r>
        <w:rPr>
          <w:rFonts w:hint="eastAsia" w:ascii="方正小标宋简体" w:hAnsi="方正小标宋简体" w:eastAsia="方正小标宋简体" w:cs="方正小标宋简体"/>
          <w:color w:val="000000"/>
          <w:spacing w:val="-2"/>
          <w:w w:val="95"/>
          <w:sz w:val="44"/>
          <w:szCs w:val="44"/>
        </w:rPr>
        <w:t>认定申报表</w:t>
      </w:r>
    </w:p>
    <w:p>
      <w:pPr>
        <w:spacing w:line="360" w:lineRule="auto"/>
        <w:jc w:val="center"/>
        <w:rPr>
          <w:color w:val="000000"/>
          <w:szCs w:val="21"/>
        </w:rPr>
      </w:pPr>
      <w:r>
        <w:rPr>
          <w:rFonts w:hint="eastAsia"/>
          <w:color w:val="000000"/>
          <w:szCs w:val="21"/>
        </w:rPr>
        <w:t xml:space="preserve">学院：              专业：           班级：           学号：           姓名：        </w:t>
      </w:r>
    </w:p>
    <w:tbl>
      <w:tblPr>
        <w:tblStyle w:val="5"/>
        <w:tblW w:w="9039"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1386"/>
        <w:gridCol w:w="1405"/>
        <w:gridCol w:w="2911"/>
        <w:gridCol w:w="426"/>
        <w:gridCol w:w="529"/>
        <w:gridCol w:w="9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459" w:type="dxa"/>
            <w:tcBorders>
              <w:top w:val="single" w:color="auto" w:sz="8" w:space="0"/>
              <w:bottom w:val="single" w:color="auto" w:sz="4" w:space="0"/>
            </w:tcBorders>
            <w:vAlign w:val="center"/>
          </w:tcPr>
          <w:p>
            <w:pPr>
              <w:spacing w:line="240" w:lineRule="exact"/>
              <w:ind w:left="-105" w:leftChars="-50" w:right="-105" w:rightChars="-50"/>
              <w:jc w:val="center"/>
              <w:rPr>
                <w:color w:val="000000"/>
                <w:sz w:val="18"/>
                <w:szCs w:val="18"/>
              </w:rPr>
            </w:pPr>
            <w:r>
              <w:rPr>
                <w:rFonts w:hint="eastAsia"/>
                <w:color w:val="000000"/>
                <w:sz w:val="18"/>
                <w:szCs w:val="18"/>
              </w:rPr>
              <w:t>项目</w:t>
            </w:r>
          </w:p>
        </w:tc>
        <w:tc>
          <w:tcPr>
            <w:tcW w:w="1386" w:type="dxa"/>
            <w:tcBorders>
              <w:top w:val="single" w:color="auto" w:sz="8" w:space="0"/>
              <w:bottom w:val="single" w:color="auto" w:sz="4" w:space="0"/>
            </w:tcBorders>
            <w:vAlign w:val="center"/>
          </w:tcPr>
          <w:p>
            <w:pPr>
              <w:spacing w:line="240" w:lineRule="exact"/>
              <w:ind w:left="-105" w:leftChars="-50" w:right="-105" w:rightChars="-50"/>
              <w:jc w:val="center"/>
              <w:rPr>
                <w:color w:val="000000"/>
                <w:sz w:val="18"/>
                <w:szCs w:val="18"/>
              </w:rPr>
            </w:pPr>
            <w:r>
              <w:rPr>
                <w:rFonts w:hint="eastAsia"/>
                <w:color w:val="000000"/>
                <w:sz w:val="18"/>
                <w:szCs w:val="18"/>
              </w:rPr>
              <w:t>项目编号</w:t>
            </w:r>
          </w:p>
        </w:tc>
        <w:tc>
          <w:tcPr>
            <w:tcW w:w="4742" w:type="dxa"/>
            <w:gridSpan w:val="3"/>
            <w:tcBorders>
              <w:top w:val="single" w:color="auto" w:sz="8" w:space="0"/>
              <w:bottom w:val="single" w:color="auto" w:sz="4" w:space="0"/>
            </w:tcBorders>
            <w:vAlign w:val="center"/>
          </w:tcPr>
          <w:p>
            <w:pPr>
              <w:spacing w:line="240" w:lineRule="exact"/>
              <w:ind w:left="-105" w:leftChars="-50" w:right="-105" w:rightChars="-50"/>
              <w:jc w:val="center"/>
              <w:rPr>
                <w:color w:val="000000"/>
                <w:sz w:val="18"/>
                <w:szCs w:val="18"/>
              </w:rPr>
            </w:pPr>
            <w:r>
              <w:rPr>
                <w:rFonts w:hint="eastAsia"/>
                <w:color w:val="000000"/>
                <w:sz w:val="18"/>
                <w:szCs w:val="18"/>
              </w:rPr>
              <w:t>内      容</w:t>
            </w:r>
          </w:p>
        </w:tc>
        <w:tc>
          <w:tcPr>
            <w:tcW w:w="529" w:type="dxa"/>
            <w:tcBorders>
              <w:top w:val="single" w:color="auto" w:sz="8" w:space="0"/>
              <w:bottom w:val="single" w:color="auto" w:sz="4" w:space="0"/>
            </w:tcBorders>
            <w:vAlign w:val="center"/>
          </w:tcPr>
          <w:p>
            <w:pPr>
              <w:spacing w:line="240" w:lineRule="exact"/>
              <w:ind w:left="-105" w:leftChars="-50" w:right="-105" w:rightChars="-50"/>
              <w:jc w:val="center"/>
              <w:rPr>
                <w:color w:val="000000"/>
                <w:sz w:val="18"/>
                <w:szCs w:val="18"/>
              </w:rPr>
            </w:pPr>
            <w:r>
              <w:rPr>
                <w:rFonts w:hint="eastAsia"/>
                <w:color w:val="000000"/>
                <w:sz w:val="18"/>
                <w:szCs w:val="18"/>
              </w:rPr>
              <w:t>学分</w:t>
            </w:r>
          </w:p>
        </w:tc>
        <w:tc>
          <w:tcPr>
            <w:tcW w:w="923" w:type="dxa"/>
            <w:tcBorders>
              <w:top w:val="single" w:color="auto" w:sz="8" w:space="0"/>
              <w:bottom w:val="single" w:color="auto" w:sz="4" w:space="0"/>
            </w:tcBorders>
            <w:vAlign w:val="center"/>
          </w:tcPr>
          <w:p>
            <w:pPr>
              <w:spacing w:line="240" w:lineRule="exact"/>
              <w:ind w:left="-105" w:leftChars="-50" w:right="-105" w:rightChars="-50"/>
              <w:jc w:val="center"/>
              <w:rPr>
                <w:rFonts w:hint="eastAsia"/>
                <w:color w:val="000000"/>
                <w:sz w:val="18"/>
                <w:szCs w:val="18"/>
              </w:rPr>
            </w:pPr>
            <w:r>
              <w:rPr>
                <w:rFonts w:hint="eastAsia"/>
                <w:color w:val="000000"/>
                <w:sz w:val="18"/>
                <w:szCs w:val="18"/>
              </w:rPr>
              <w:t>性质</w:t>
            </w:r>
          </w:p>
          <w:p>
            <w:pPr>
              <w:spacing w:line="240" w:lineRule="exact"/>
              <w:ind w:left="-105" w:leftChars="-50" w:right="-105" w:rightChars="-50"/>
              <w:jc w:val="center"/>
              <w:rPr>
                <w:rFonts w:hint="eastAsia" w:eastAsiaTheme="minorEastAsia"/>
                <w:color w:val="000000"/>
                <w:sz w:val="18"/>
                <w:szCs w:val="18"/>
                <w:lang w:val="en-US" w:eastAsia="zh-CN"/>
              </w:rPr>
            </w:pPr>
            <w:r>
              <w:rPr>
                <w:rFonts w:hint="eastAsia"/>
                <w:color w:val="000000"/>
                <w:sz w:val="18"/>
                <w:szCs w:val="18"/>
                <w:lang w:eastAsia="zh-CN"/>
              </w:rPr>
              <w:t>（素质拓展</w:t>
            </w:r>
            <w:r>
              <w:rPr>
                <w:rFonts w:hint="eastAsia"/>
                <w:color w:val="000000"/>
                <w:sz w:val="18"/>
                <w:szCs w:val="18"/>
                <w:lang w:val="en-US" w:eastAsia="zh-CN"/>
              </w:rPr>
              <w:t>/劳动教育</w:t>
            </w:r>
            <w:r>
              <w:rPr>
                <w:rFonts w:hint="eastAsia"/>
                <w:color w:val="000000"/>
                <w:sz w:val="18"/>
                <w:szCs w:val="18"/>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6" w:hRule="atLeast"/>
        </w:trPr>
        <w:tc>
          <w:tcPr>
            <w:tcW w:w="1459" w:type="dxa"/>
            <w:tcBorders>
              <w:top w:val="single" w:color="auto" w:sz="4" w:space="0"/>
            </w:tcBorders>
            <w:vAlign w:val="center"/>
          </w:tcPr>
          <w:p>
            <w:pPr>
              <w:spacing w:line="240" w:lineRule="exact"/>
              <w:jc w:val="center"/>
              <w:rPr>
                <w:color w:val="000000"/>
                <w:sz w:val="18"/>
                <w:szCs w:val="18"/>
              </w:rPr>
            </w:pPr>
            <w:r>
              <w:rPr>
                <w:rFonts w:hint="eastAsia"/>
                <w:color w:val="000000"/>
                <w:sz w:val="18"/>
                <w:szCs w:val="18"/>
              </w:rPr>
              <w:t>A.思想政治与</w:t>
            </w:r>
          </w:p>
          <w:p>
            <w:pPr>
              <w:spacing w:line="240" w:lineRule="exact"/>
              <w:jc w:val="center"/>
              <w:rPr>
                <w:color w:val="000000"/>
                <w:sz w:val="18"/>
                <w:szCs w:val="18"/>
              </w:rPr>
            </w:pPr>
            <w:r>
              <w:rPr>
                <w:rFonts w:hint="eastAsia"/>
                <w:color w:val="000000"/>
                <w:sz w:val="18"/>
                <w:szCs w:val="18"/>
              </w:rPr>
              <w:t>道德修养</w:t>
            </w:r>
          </w:p>
        </w:tc>
        <w:tc>
          <w:tcPr>
            <w:tcW w:w="1386" w:type="dxa"/>
            <w:tcBorders>
              <w:top w:val="single" w:color="auto" w:sz="4" w:space="0"/>
            </w:tcBorders>
          </w:tcPr>
          <w:p>
            <w:pPr>
              <w:spacing w:line="240" w:lineRule="exact"/>
              <w:rPr>
                <w:color w:val="000000"/>
                <w:sz w:val="18"/>
                <w:szCs w:val="18"/>
              </w:rPr>
            </w:pPr>
          </w:p>
        </w:tc>
        <w:tc>
          <w:tcPr>
            <w:tcW w:w="4742" w:type="dxa"/>
            <w:gridSpan w:val="3"/>
            <w:tcBorders>
              <w:top w:val="single" w:color="auto" w:sz="4" w:space="0"/>
            </w:tcBorders>
          </w:tcPr>
          <w:p>
            <w:pPr>
              <w:spacing w:line="240" w:lineRule="exact"/>
              <w:rPr>
                <w:color w:val="000000"/>
                <w:sz w:val="18"/>
                <w:szCs w:val="18"/>
              </w:rPr>
            </w:pPr>
          </w:p>
        </w:tc>
        <w:tc>
          <w:tcPr>
            <w:tcW w:w="529" w:type="dxa"/>
            <w:tcBorders>
              <w:top w:val="single" w:color="auto" w:sz="4" w:space="0"/>
            </w:tcBorders>
          </w:tcPr>
          <w:p>
            <w:pPr>
              <w:spacing w:line="240" w:lineRule="exact"/>
              <w:jc w:val="center"/>
              <w:rPr>
                <w:color w:val="000000"/>
                <w:sz w:val="18"/>
                <w:szCs w:val="18"/>
              </w:rPr>
            </w:pPr>
          </w:p>
        </w:tc>
        <w:tc>
          <w:tcPr>
            <w:tcW w:w="923" w:type="dxa"/>
            <w:tcBorders>
              <w:top w:val="single" w:color="auto" w:sz="4" w:space="0"/>
            </w:tcBorders>
          </w:tcPr>
          <w:p>
            <w:pPr>
              <w:spacing w:line="240" w:lineRule="exact"/>
              <w:rPr>
                <w:color w:val="00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1459" w:type="dxa"/>
            <w:vAlign w:val="center"/>
          </w:tcPr>
          <w:p>
            <w:pPr>
              <w:spacing w:line="240" w:lineRule="exact"/>
              <w:jc w:val="center"/>
              <w:rPr>
                <w:color w:val="000000"/>
                <w:sz w:val="18"/>
                <w:szCs w:val="18"/>
              </w:rPr>
            </w:pPr>
            <w:r>
              <w:rPr>
                <w:rFonts w:hint="eastAsia"/>
                <w:color w:val="000000"/>
                <w:sz w:val="18"/>
                <w:szCs w:val="18"/>
              </w:rPr>
              <w:t>B.学术科技与</w:t>
            </w:r>
          </w:p>
          <w:p>
            <w:pPr>
              <w:spacing w:line="240" w:lineRule="exact"/>
              <w:jc w:val="center"/>
              <w:rPr>
                <w:color w:val="000000"/>
                <w:sz w:val="18"/>
                <w:szCs w:val="18"/>
              </w:rPr>
            </w:pPr>
            <w:r>
              <w:rPr>
                <w:rFonts w:hint="eastAsia"/>
                <w:color w:val="000000"/>
                <w:sz w:val="18"/>
                <w:szCs w:val="18"/>
              </w:rPr>
              <w:t>创新创业</w:t>
            </w:r>
          </w:p>
        </w:tc>
        <w:tc>
          <w:tcPr>
            <w:tcW w:w="1386" w:type="dxa"/>
          </w:tcPr>
          <w:p>
            <w:pPr>
              <w:spacing w:line="240" w:lineRule="exact"/>
              <w:rPr>
                <w:color w:val="000000"/>
                <w:sz w:val="18"/>
                <w:szCs w:val="18"/>
              </w:rPr>
            </w:pPr>
          </w:p>
        </w:tc>
        <w:tc>
          <w:tcPr>
            <w:tcW w:w="4742" w:type="dxa"/>
            <w:gridSpan w:val="3"/>
            <w:vAlign w:val="center"/>
          </w:tcPr>
          <w:p>
            <w:pPr>
              <w:spacing w:line="240" w:lineRule="exact"/>
              <w:rPr>
                <w:color w:val="000000"/>
                <w:sz w:val="18"/>
                <w:szCs w:val="18"/>
              </w:rPr>
            </w:pPr>
          </w:p>
        </w:tc>
        <w:tc>
          <w:tcPr>
            <w:tcW w:w="529" w:type="dxa"/>
            <w:vAlign w:val="center"/>
          </w:tcPr>
          <w:p>
            <w:pPr>
              <w:widowControl/>
              <w:spacing w:line="240" w:lineRule="exact"/>
              <w:jc w:val="center"/>
              <w:rPr>
                <w:color w:val="000000"/>
                <w:sz w:val="18"/>
                <w:szCs w:val="18"/>
              </w:rPr>
            </w:pPr>
          </w:p>
        </w:tc>
        <w:tc>
          <w:tcPr>
            <w:tcW w:w="923" w:type="dxa"/>
            <w:vAlign w:val="center"/>
          </w:tcPr>
          <w:p>
            <w:pPr>
              <w:widowControl/>
              <w:spacing w:line="240" w:lineRule="exact"/>
              <w:jc w:val="center"/>
              <w:rPr>
                <w:color w:val="00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1459" w:type="dxa"/>
            <w:vAlign w:val="center"/>
          </w:tcPr>
          <w:p>
            <w:pPr>
              <w:spacing w:line="240" w:lineRule="exact"/>
              <w:jc w:val="center"/>
              <w:rPr>
                <w:color w:val="000000"/>
                <w:sz w:val="18"/>
                <w:szCs w:val="18"/>
              </w:rPr>
            </w:pPr>
            <w:r>
              <w:rPr>
                <w:rFonts w:hint="eastAsia"/>
                <w:color w:val="000000"/>
                <w:sz w:val="18"/>
                <w:szCs w:val="18"/>
              </w:rPr>
              <w:t>C.社会实践与</w:t>
            </w:r>
          </w:p>
          <w:p>
            <w:pPr>
              <w:spacing w:line="240" w:lineRule="exact"/>
              <w:jc w:val="center"/>
              <w:rPr>
                <w:color w:val="000000"/>
                <w:sz w:val="18"/>
                <w:szCs w:val="18"/>
              </w:rPr>
            </w:pPr>
            <w:r>
              <w:rPr>
                <w:rFonts w:hint="eastAsia"/>
                <w:color w:val="000000"/>
                <w:sz w:val="18"/>
                <w:szCs w:val="18"/>
              </w:rPr>
              <w:t>社会工作</w:t>
            </w:r>
          </w:p>
        </w:tc>
        <w:tc>
          <w:tcPr>
            <w:tcW w:w="1386" w:type="dxa"/>
          </w:tcPr>
          <w:p>
            <w:pPr>
              <w:spacing w:line="240" w:lineRule="exact"/>
              <w:rPr>
                <w:color w:val="000000"/>
                <w:sz w:val="18"/>
                <w:szCs w:val="18"/>
              </w:rPr>
            </w:pPr>
          </w:p>
        </w:tc>
        <w:tc>
          <w:tcPr>
            <w:tcW w:w="4742" w:type="dxa"/>
            <w:gridSpan w:val="3"/>
          </w:tcPr>
          <w:p>
            <w:pPr>
              <w:spacing w:line="240" w:lineRule="exact"/>
              <w:rPr>
                <w:color w:val="000000"/>
                <w:sz w:val="18"/>
                <w:szCs w:val="18"/>
              </w:rPr>
            </w:pPr>
          </w:p>
        </w:tc>
        <w:tc>
          <w:tcPr>
            <w:tcW w:w="529" w:type="dxa"/>
          </w:tcPr>
          <w:p>
            <w:pPr>
              <w:spacing w:line="240" w:lineRule="exact"/>
              <w:jc w:val="center"/>
              <w:rPr>
                <w:color w:val="000000"/>
                <w:sz w:val="18"/>
                <w:szCs w:val="18"/>
              </w:rPr>
            </w:pPr>
          </w:p>
        </w:tc>
        <w:tc>
          <w:tcPr>
            <w:tcW w:w="923" w:type="dxa"/>
          </w:tcPr>
          <w:p>
            <w:pPr>
              <w:spacing w:line="240" w:lineRule="exact"/>
              <w:jc w:val="center"/>
              <w:rPr>
                <w:color w:val="00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2" w:hRule="atLeast"/>
        </w:trPr>
        <w:tc>
          <w:tcPr>
            <w:tcW w:w="1459" w:type="dxa"/>
            <w:vAlign w:val="center"/>
          </w:tcPr>
          <w:p>
            <w:pPr>
              <w:spacing w:line="240" w:lineRule="exact"/>
              <w:jc w:val="center"/>
              <w:rPr>
                <w:color w:val="000000"/>
                <w:sz w:val="18"/>
                <w:szCs w:val="18"/>
              </w:rPr>
            </w:pPr>
            <w:r>
              <w:rPr>
                <w:rFonts w:hint="eastAsia"/>
                <w:color w:val="000000"/>
                <w:sz w:val="18"/>
                <w:szCs w:val="18"/>
              </w:rPr>
              <w:t>D.文化艺术与</w:t>
            </w:r>
          </w:p>
          <w:p>
            <w:pPr>
              <w:spacing w:line="240" w:lineRule="exact"/>
              <w:jc w:val="center"/>
              <w:rPr>
                <w:color w:val="000000"/>
                <w:sz w:val="18"/>
                <w:szCs w:val="18"/>
              </w:rPr>
            </w:pPr>
            <w:r>
              <w:rPr>
                <w:rFonts w:hint="eastAsia"/>
                <w:color w:val="000000"/>
                <w:sz w:val="18"/>
                <w:szCs w:val="18"/>
              </w:rPr>
              <w:t>体育活动</w:t>
            </w:r>
          </w:p>
        </w:tc>
        <w:tc>
          <w:tcPr>
            <w:tcW w:w="1386" w:type="dxa"/>
          </w:tcPr>
          <w:p>
            <w:pPr>
              <w:widowControl/>
              <w:spacing w:line="240" w:lineRule="exact"/>
              <w:rPr>
                <w:color w:val="000000"/>
                <w:sz w:val="18"/>
                <w:szCs w:val="18"/>
              </w:rPr>
            </w:pPr>
          </w:p>
        </w:tc>
        <w:tc>
          <w:tcPr>
            <w:tcW w:w="4742" w:type="dxa"/>
            <w:gridSpan w:val="3"/>
          </w:tcPr>
          <w:p>
            <w:pPr>
              <w:widowControl/>
              <w:spacing w:line="240" w:lineRule="exact"/>
              <w:rPr>
                <w:color w:val="000000"/>
                <w:sz w:val="18"/>
                <w:szCs w:val="18"/>
              </w:rPr>
            </w:pPr>
          </w:p>
        </w:tc>
        <w:tc>
          <w:tcPr>
            <w:tcW w:w="529" w:type="dxa"/>
          </w:tcPr>
          <w:p>
            <w:pPr>
              <w:widowControl/>
              <w:spacing w:line="240" w:lineRule="exact"/>
              <w:jc w:val="center"/>
              <w:rPr>
                <w:color w:val="000000"/>
                <w:sz w:val="18"/>
                <w:szCs w:val="18"/>
              </w:rPr>
            </w:pPr>
          </w:p>
        </w:tc>
        <w:tc>
          <w:tcPr>
            <w:tcW w:w="923" w:type="dxa"/>
          </w:tcPr>
          <w:p>
            <w:pPr>
              <w:widowControl/>
              <w:spacing w:line="240" w:lineRule="exact"/>
              <w:jc w:val="center"/>
              <w:rPr>
                <w:color w:val="00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1459" w:type="dxa"/>
            <w:vAlign w:val="center"/>
          </w:tcPr>
          <w:p>
            <w:pPr>
              <w:spacing w:line="240" w:lineRule="exact"/>
              <w:jc w:val="center"/>
              <w:rPr>
                <w:color w:val="000000"/>
                <w:sz w:val="18"/>
                <w:szCs w:val="18"/>
              </w:rPr>
            </w:pPr>
            <w:r>
              <w:rPr>
                <w:rFonts w:hint="eastAsia"/>
                <w:color w:val="000000"/>
                <w:sz w:val="18"/>
                <w:szCs w:val="18"/>
              </w:rPr>
              <w:t>E.技能培训</w:t>
            </w:r>
          </w:p>
          <w:p>
            <w:pPr>
              <w:spacing w:line="240" w:lineRule="exact"/>
              <w:jc w:val="center"/>
              <w:rPr>
                <w:color w:val="000000"/>
                <w:sz w:val="18"/>
                <w:szCs w:val="18"/>
              </w:rPr>
            </w:pPr>
            <w:r>
              <w:rPr>
                <w:rFonts w:hint="eastAsia"/>
                <w:color w:val="000000"/>
                <w:sz w:val="18"/>
                <w:szCs w:val="18"/>
                <w:lang w:eastAsia="zh-CN"/>
              </w:rPr>
              <w:t>及其他</w:t>
            </w:r>
          </w:p>
        </w:tc>
        <w:tc>
          <w:tcPr>
            <w:tcW w:w="1386" w:type="dxa"/>
          </w:tcPr>
          <w:p>
            <w:pPr>
              <w:spacing w:line="240" w:lineRule="exact"/>
              <w:rPr>
                <w:color w:val="000000"/>
                <w:sz w:val="18"/>
                <w:szCs w:val="18"/>
              </w:rPr>
            </w:pPr>
          </w:p>
        </w:tc>
        <w:tc>
          <w:tcPr>
            <w:tcW w:w="4742" w:type="dxa"/>
            <w:gridSpan w:val="3"/>
          </w:tcPr>
          <w:p>
            <w:pPr>
              <w:spacing w:line="240" w:lineRule="exact"/>
              <w:rPr>
                <w:color w:val="000000"/>
                <w:sz w:val="18"/>
                <w:szCs w:val="18"/>
              </w:rPr>
            </w:pPr>
          </w:p>
        </w:tc>
        <w:tc>
          <w:tcPr>
            <w:tcW w:w="529" w:type="dxa"/>
          </w:tcPr>
          <w:p>
            <w:pPr>
              <w:spacing w:line="240" w:lineRule="exact"/>
              <w:jc w:val="center"/>
              <w:rPr>
                <w:color w:val="000000"/>
                <w:sz w:val="18"/>
                <w:szCs w:val="18"/>
              </w:rPr>
            </w:pPr>
          </w:p>
        </w:tc>
        <w:tc>
          <w:tcPr>
            <w:tcW w:w="923" w:type="dxa"/>
          </w:tcPr>
          <w:p>
            <w:pPr>
              <w:spacing w:line="240" w:lineRule="exact"/>
              <w:jc w:val="center"/>
              <w:rPr>
                <w:color w:val="00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1459" w:type="dxa"/>
            <w:vAlign w:val="center"/>
          </w:tcPr>
          <w:p>
            <w:pPr>
              <w:spacing w:line="240" w:lineRule="exact"/>
              <w:jc w:val="center"/>
              <w:rPr>
                <w:color w:val="000000"/>
                <w:sz w:val="18"/>
                <w:szCs w:val="18"/>
              </w:rPr>
            </w:pPr>
            <w:r>
              <w:rPr>
                <w:rFonts w:hint="eastAsia"/>
                <w:color w:val="000000"/>
                <w:sz w:val="18"/>
                <w:szCs w:val="18"/>
              </w:rPr>
              <w:t>F.国防教育</w:t>
            </w:r>
          </w:p>
        </w:tc>
        <w:tc>
          <w:tcPr>
            <w:tcW w:w="1386" w:type="dxa"/>
          </w:tcPr>
          <w:p>
            <w:pPr>
              <w:spacing w:line="240" w:lineRule="exact"/>
              <w:rPr>
                <w:color w:val="000000"/>
                <w:sz w:val="18"/>
                <w:szCs w:val="18"/>
              </w:rPr>
            </w:pPr>
          </w:p>
        </w:tc>
        <w:tc>
          <w:tcPr>
            <w:tcW w:w="4742" w:type="dxa"/>
            <w:gridSpan w:val="3"/>
          </w:tcPr>
          <w:p>
            <w:pPr>
              <w:spacing w:line="240" w:lineRule="exact"/>
              <w:rPr>
                <w:color w:val="000000"/>
                <w:sz w:val="18"/>
                <w:szCs w:val="18"/>
              </w:rPr>
            </w:pPr>
          </w:p>
        </w:tc>
        <w:tc>
          <w:tcPr>
            <w:tcW w:w="529" w:type="dxa"/>
          </w:tcPr>
          <w:p>
            <w:pPr>
              <w:spacing w:line="240" w:lineRule="exact"/>
              <w:jc w:val="center"/>
              <w:rPr>
                <w:color w:val="000000"/>
                <w:sz w:val="18"/>
                <w:szCs w:val="18"/>
              </w:rPr>
            </w:pPr>
          </w:p>
        </w:tc>
        <w:tc>
          <w:tcPr>
            <w:tcW w:w="923" w:type="dxa"/>
          </w:tcPr>
          <w:p>
            <w:pPr>
              <w:spacing w:line="240" w:lineRule="exact"/>
              <w:jc w:val="center"/>
              <w:rPr>
                <w:color w:val="000000"/>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2845" w:type="dxa"/>
            <w:gridSpan w:val="2"/>
            <w:vAlign w:val="center"/>
          </w:tcPr>
          <w:p>
            <w:pPr>
              <w:spacing w:line="240" w:lineRule="exact"/>
              <w:jc w:val="right"/>
              <w:rPr>
                <w:color w:val="000000"/>
                <w:sz w:val="18"/>
                <w:szCs w:val="18"/>
              </w:rPr>
            </w:pPr>
            <w:r>
              <w:rPr>
                <w:rFonts w:hint="eastAsia"/>
                <w:color w:val="000000"/>
                <w:sz w:val="18"/>
                <w:szCs w:val="18"/>
              </w:rPr>
              <w:t>素质拓展学分合计：</w:t>
            </w:r>
          </w:p>
        </w:tc>
        <w:tc>
          <w:tcPr>
            <w:tcW w:w="1405" w:type="dxa"/>
            <w:vAlign w:val="center"/>
          </w:tcPr>
          <w:p>
            <w:pPr>
              <w:spacing w:line="240" w:lineRule="exact"/>
              <w:ind w:left="-105" w:leftChars="-50" w:right="-105" w:rightChars="-50"/>
              <w:jc w:val="center"/>
              <w:rPr>
                <w:color w:val="000000"/>
                <w:sz w:val="18"/>
                <w:szCs w:val="18"/>
              </w:rPr>
            </w:pPr>
            <w:r>
              <w:rPr>
                <w:rFonts w:hint="eastAsia"/>
                <w:color w:val="000000"/>
                <w:sz w:val="18"/>
                <w:szCs w:val="18"/>
              </w:rPr>
              <w:t xml:space="preserve">     </w:t>
            </w:r>
          </w:p>
        </w:tc>
        <w:tc>
          <w:tcPr>
            <w:tcW w:w="2911" w:type="dxa"/>
            <w:vAlign w:val="center"/>
          </w:tcPr>
          <w:p>
            <w:pPr>
              <w:spacing w:line="240" w:lineRule="exact"/>
              <w:ind w:left="-105" w:leftChars="-50" w:right="-105" w:rightChars="-50"/>
              <w:jc w:val="right"/>
              <w:rPr>
                <w:color w:val="000000"/>
                <w:sz w:val="18"/>
                <w:szCs w:val="18"/>
              </w:rPr>
            </w:pPr>
            <w:r>
              <w:rPr>
                <w:rFonts w:hint="eastAsia"/>
                <w:color w:val="000000"/>
                <w:sz w:val="18"/>
                <w:szCs w:val="18"/>
              </w:rPr>
              <w:t>劳动教育学分合计：</w:t>
            </w:r>
          </w:p>
        </w:tc>
        <w:tc>
          <w:tcPr>
            <w:tcW w:w="1878" w:type="dxa"/>
            <w:gridSpan w:val="3"/>
            <w:vAlign w:val="center"/>
          </w:tcPr>
          <w:p>
            <w:pPr>
              <w:spacing w:line="240" w:lineRule="exact"/>
              <w:ind w:left="-105" w:leftChars="-50" w:right="-105" w:rightChars="-50"/>
              <w:jc w:val="center"/>
              <w:rPr>
                <w:color w:val="000000"/>
                <w:sz w:val="18"/>
                <w:szCs w:val="18"/>
              </w:rPr>
            </w:pPr>
          </w:p>
        </w:tc>
      </w:tr>
    </w:tbl>
    <w:p>
      <w:pPr>
        <w:spacing w:before="156" w:beforeLines="50"/>
        <w:ind w:firstLine="525" w:firstLineChars="250"/>
        <w:rPr>
          <w:color w:val="000000"/>
          <w:szCs w:val="21"/>
        </w:rPr>
      </w:pPr>
      <w:r>
        <w:rPr>
          <w:rFonts w:hint="eastAsia"/>
          <w:color w:val="000000"/>
          <w:szCs w:val="21"/>
        </w:rPr>
        <w:t>注：申报表同时附上相关材料的复印件。</w:t>
      </w:r>
    </w:p>
    <w:p>
      <w:pPr>
        <w:spacing w:line="360" w:lineRule="auto"/>
        <w:ind w:firstLine="735" w:firstLineChars="350"/>
        <w:rPr>
          <w:color w:val="000000"/>
          <w:szCs w:val="21"/>
        </w:rPr>
      </w:pPr>
      <w:r>
        <w:rPr>
          <w:rFonts w:hint="eastAsia"/>
          <w:color w:val="000000"/>
          <w:szCs w:val="21"/>
        </w:rPr>
        <w:t>本人签名：                              班级负责人签名：</w:t>
      </w:r>
    </w:p>
    <w:p>
      <w:pPr>
        <w:adjustRightInd w:val="0"/>
        <w:snapToGrid w:val="0"/>
        <w:spacing w:line="500" w:lineRule="exact"/>
        <w:jc w:val="center"/>
        <w:rPr>
          <w:color w:val="000000"/>
          <w:szCs w:val="21"/>
        </w:rPr>
      </w:pPr>
      <w:r>
        <w:rPr>
          <w:rFonts w:hint="eastAsia"/>
          <w:color w:val="000000"/>
          <w:szCs w:val="21"/>
        </w:rPr>
        <w:t xml:space="preserve">           年    月    日    </w:t>
      </w:r>
      <w:r>
        <w:rPr>
          <w:rFonts w:hint="eastAsia"/>
          <w:b/>
          <w:color w:val="000000"/>
          <w:szCs w:val="21"/>
        </w:rPr>
        <w:t xml:space="preserve">                     </w:t>
      </w:r>
      <w:r>
        <w:rPr>
          <w:rFonts w:hint="eastAsia"/>
          <w:color w:val="000000"/>
          <w:szCs w:val="21"/>
        </w:rPr>
        <w:t xml:space="preserve">   年    月    日</w:t>
      </w:r>
    </w:p>
    <w:p>
      <w:pPr>
        <w:pStyle w:val="10"/>
        <w:ind w:firstLine="0" w:firstLineChars="0"/>
        <w:rPr>
          <w:rFonts w:ascii="仿宋_GB2312" w:eastAsia="仿宋_GB2312"/>
          <w:sz w:val="30"/>
          <w:szCs w:val="30"/>
        </w:rPr>
        <w:sectPr>
          <w:footerReference r:id="rId3" w:type="default"/>
          <w:pgSz w:w="11906" w:h="16838"/>
          <w:pgMar w:top="1587" w:right="1559" w:bottom="1587" w:left="1559" w:header="851" w:footer="992" w:gutter="0"/>
          <w:pgNumType w:fmt="numberInDash"/>
          <w:cols w:space="425" w:num="1"/>
          <w:docGrid w:type="lines" w:linePitch="312" w:charSpace="0"/>
        </w:sect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jc w:val="center"/>
        <w:rPr>
          <w:rFonts w:ascii="仿宋_GB2312" w:eastAsia="仿宋_GB2312"/>
          <w:sz w:val="32"/>
          <w:szCs w:val="32"/>
        </w:rPr>
      </w:pPr>
      <w:r>
        <w:rPr>
          <w:rFonts w:hint="eastAsia" w:ascii="仿宋_GB2312" w:eastAsia="仿宋_GB2312"/>
          <w:sz w:val="32"/>
          <w:szCs w:val="32"/>
        </w:rPr>
        <w:t>（本页无正文）</w:t>
      </w: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eastAsia="仿宋_GB2312"/>
          <w:sz w:val="32"/>
          <w:szCs w:val="32"/>
        </w:rPr>
      </w:pPr>
    </w:p>
    <w:p>
      <w:pPr>
        <w:pBdr>
          <w:top w:val="single" w:color="auto" w:sz="4" w:space="0"/>
          <w:bottom w:val="single" w:color="auto" w:sz="4" w:space="0"/>
        </w:pBdr>
        <w:ind w:firstLine="280" w:firstLineChars="100"/>
        <w:rPr>
          <w:rFonts w:ascii="仿宋_GB2312" w:eastAsia="仿宋_GB2312"/>
          <w:sz w:val="28"/>
          <w:szCs w:val="28"/>
        </w:rPr>
      </w:pPr>
      <w:r>
        <w:rPr>
          <w:rFonts w:hint="eastAsia" w:ascii="仿宋_GB2312" w:eastAsia="仿宋_GB2312"/>
          <w:sz w:val="28"/>
          <w:szCs w:val="28"/>
        </w:rPr>
        <w:t>福州理工学院教务处                     2022年9月</w:t>
      </w:r>
      <w:r>
        <w:rPr>
          <w:rFonts w:hint="eastAsia" w:ascii="仿宋_GB2312" w:eastAsia="仿宋_GB2312"/>
          <w:sz w:val="28"/>
          <w:szCs w:val="28"/>
          <w:lang w:val="en-US" w:eastAsia="zh-CN"/>
        </w:rPr>
        <w:t>14</w:t>
      </w:r>
      <w:r>
        <w:rPr>
          <w:rFonts w:hint="eastAsia" w:ascii="仿宋_GB2312" w:eastAsia="仿宋_GB2312"/>
          <w:sz w:val="28"/>
          <w:szCs w:val="28"/>
        </w:rPr>
        <w:t>日印发</w:t>
      </w:r>
    </w:p>
    <w:sectPr>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0" b="0"/>
              <wp:wrapNone/>
              <wp:docPr id="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pPr>
                            <w:pStyle w:val="3"/>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- 2 -</w:t>
                          </w:r>
                          <w:r>
                            <w:rPr>
                              <w:rFonts w:ascii="宋体" w:hAnsi="宋体"/>
                              <w:sz w:val="28"/>
                            </w:rP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8.15pt;width:35.05pt;mso-position-horizontal:outside;mso-position-horizontal-relative:margin;mso-wrap-style:none;z-index:25165926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m84hJ9EAAAADAQAADwAAAAAAAAABACAAAAAiAAAAZHJzL2Rvd25yZXYueG1sUEsB&#10;AhQAFAAAAAgAh07iQOFiMoH8AQAABAQAAA4AAAAAAAAAAQAgAAAAIAEAAGRycy9lMm9Eb2MueG1s&#10;UEsFBgAAAAAGAAYAWQEAAI4FAAAAAA==&#10;">
              <v:fill on="f" focussize="0,0"/>
              <v:stroke on="f"/>
              <v:imagedata o:title=""/>
              <o:lock v:ext="edit" aspectratio="f"/>
              <v:textbox inset="0mm,0mm,0mm,0mm" style="mso-fit-shape-to-text:t;">
                <w:txbxContent>
                  <w:p>
                    <w:pPr>
                      <w:pStyle w:val="3"/>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- 2 -</w:t>
                    </w:r>
                    <w:r>
                      <w:rPr>
                        <w:rFonts w:ascii="宋体" w:hAnsi="宋体"/>
                        <w:sz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mYWMxNzZmYmE4NDM4N2NlZDZhM2Q2MDc2OWRkOWMifQ=="/>
  </w:docVars>
  <w:rsids>
    <w:rsidRoot w:val="00A61C0A"/>
    <w:rsid w:val="000208EE"/>
    <w:rsid w:val="0004042A"/>
    <w:rsid w:val="000B25CE"/>
    <w:rsid w:val="000E680E"/>
    <w:rsid w:val="001441F7"/>
    <w:rsid w:val="001514F4"/>
    <w:rsid w:val="00177056"/>
    <w:rsid w:val="00182DCC"/>
    <w:rsid w:val="00205E52"/>
    <w:rsid w:val="00256FA5"/>
    <w:rsid w:val="0026298A"/>
    <w:rsid w:val="00263B3D"/>
    <w:rsid w:val="00287188"/>
    <w:rsid w:val="002D5A8D"/>
    <w:rsid w:val="002F4285"/>
    <w:rsid w:val="003313D1"/>
    <w:rsid w:val="00365E63"/>
    <w:rsid w:val="003A3512"/>
    <w:rsid w:val="003C3F37"/>
    <w:rsid w:val="003C4BE1"/>
    <w:rsid w:val="003D6A68"/>
    <w:rsid w:val="00423E53"/>
    <w:rsid w:val="0043663D"/>
    <w:rsid w:val="004372DD"/>
    <w:rsid w:val="0046653F"/>
    <w:rsid w:val="00483128"/>
    <w:rsid w:val="004E5D0A"/>
    <w:rsid w:val="0050172B"/>
    <w:rsid w:val="005663AF"/>
    <w:rsid w:val="00592346"/>
    <w:rsid w:val="005B1636"/>
    <w:rsid w:val="005D374B"/>
    <w:rsid w:val="00604EDF"/>
    <w:rsid w:val="00623A13"/>
    <w:rsid w:val="0062457A"/>
    <w:rsid w:val="00680054"/>
    <w:rsid w:val="00696236"/>
    <w:rsid w:val="006A21DD"/>
    <w:rsid w:val="006E3380"/>
    <w:rsid w:val="007327FA"/>
    <w:rsid w:val="00747AF8"/>
    <w:rsid w:val="00754655"/>
    <w:rsid w:val="008212F5"/>
    <w:rsid w:val="00874775"/>
    <w:rsid w:val="008B2F28"/>
    <w:rsid w:val="008B7947"/>
    <w:rsid w:val="008D2917"/>
    <w:rsid w:val="008D3C3A"/>
    <w:rsid w:val="00952D0D"/>
    <w:rsid w:val="0097083B"/>
    <w:rsid w:val="009E6561"/>
    <w:rsid w:val="00A21A4C"/>
    <w:rsid w:val="00A247F7"/>
    <w:rsid w:val="00A53C41"/>
    <w:rsid w:val="00A61C0A"/>
    <w:rsid w:val="00A869F9"/>
    <w:rsid w:val="00A90900"/>
    <w:rsid w:val="00AC7683"/>
    <w:rsid w:val="00B03E09"/>
    <w:rsid w:val="00B70368"/>
    <w:rsid w:val="00B776FD"/>
    <w:rsid w:val="00B83AFD"/>
    <w:rsid w:val="00B9295E"/>
    <w:rsid w:val="00BC0D1D"/>
    <w:rsid w:val="00C05E00"/>
    <w:rsid w:val="00C4352C"/>
    <w:rsid w:val="00CD7A11"/>
    <w:rsid w:val="00D0066F"/>
    <w:rsid w:val="00D305BD"/>
    <w:rsid w:val="00D54AAC"/>
    <w:rsid w:val="00DE0611"/>
    <w:rsid w:val="00DE0AC0"/>
    <w:rsid w:val="00DF1C4B"/>
    <w:rsid w:val="00E000C8"/>
    <w:rsid w:val="00E4200B"/>
    <w:rsid w:val="00E579AD"/>
    <w:rsid w:val="00EB2F88"/>
    <w:rsid w:val="00ED23C4"/>
    <w:rsid w:val="00F02945"/>
    <w:rsid w:val="00F4170C"/>
    <w:rsid w:val="00FB3366"/>
    <w:rsid w:val="095F231C"/>
    <w:rsid w:val="0F111837"/>
    <w:rsid w:val="1061347E"/>
    <w:rsid w:val="12DE15D8"/>
    <w:rsid w:val="1DAB5AB2"/>
    <w:rsid w:val="23DF769E"/>
    <w:rsid w:val="24E86C5F"/>
    <w:rsid w:val="3E782831"/>
    <w:rsid w:val="49025A55"/>
    <w:rsid w:val="52632A3B"/>
    <w:rsid w:val="5691235F"/>
    <w:rsid w:val="5F0B7D72"/>
    <w:rsid w:val="70B5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眉 Char"/>
    <w:basedOn w:val="6"/>
    <w:link w:val="4"/>
    <w:uiPriority w:val="99"/>
    <w:rPr>
      <w:sz w:val="18"/>
      <w:szCs w:val="18"/>
    </w:rPr>
  </w:style>
  <w:style w:type="character" w:customStyle="1" w:styleId="9">
    <w:name w:val="页脚 Char"/>
    <w:basedOn w:val="6"/>
    <w:link w:val="3"/>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6</Pages>
  <Words>1433</Words>
  <Characters>1535</Characters>
  <Lines>14</Lines>
  <Paragraphs>3</Paragraphs>
  <TotalTime>43</TotalTime>
  <ScaleCrop>false</ScaleCrop>
  <LinksUpToDate>false</LinksUpToDate>
  <CharactersWithSpaces>1865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2022-09-13T01:14:00Z</dcterms:created>
  <dc:creator>Wrgho</dc:creator>
  <cp:lastModifiedBy>沙城</cp:lastModifiedBy>
  <dcterms:modified xsi:type="dcterms:W3CDTF">2022-09-16T02:19:39Z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44067DE0477045EE9BDDA7F99B89D7A9</vt:lpwstr>
  </property>
</Properties>
</file>