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0" w:after="120" w:line="600" w:lineRule="exact"/>
        <w:contextualSpacing/>
        <w:jc w:val="center"/>
        <w:rPr>
          <w:b/>
          <w:sz w:val="52"/>
          <w:szCs w:val="52"/>
        </w:rPr>
      </w:pPr>
      <w:bookmarkStart w:id="0" w:name="_Toc466990192"/>
    </w:p>
    <w:p>
      <w:pPr>
        <w:spacing w:before="120" w:after="120" w:line="600" w:lineRule="exact"/>
        <w:contextualSpacing/>
        <w:jc w:val="center"/>
        <w:rPr>
          <w:b/>
          <w:sz w:val="18"/>
          <w:szCs w:val="18"/>
        </w:rPr>
      </w:pPr>
    </w:p>
    <w:p>
      <w:pPr>
        <w:spacing w:before="120" w:after="120" w:line="600" w:lineRule="exact"/>
        <w:contextualSpacing/>
        <w:jc w:val="center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</w:rPr>
        <w:t>福理工教〔20</w:t>
      </w:r>
      <w:r>
        <w:rPr>
          <w:rFonts w:ascii="仿宋_GB2312" w:hAnsi="仿宋_GB2312" w:eastAsia="仿宋_GB2312"/>
          <w:color w:val="000000"/>
          <w:sz w:val="32"/>
          <w:szCs w:val="32"/>
        </w:rPr>
        <w:t>20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〕6</w:t>
      </w:r>
      <w:r>
        <w:rPr>
          <w:rFonts w:ascii="仿宋_GB2312" w:hAnsi="仿宋_GB2312" w:eastAsia="仿宋_GB2312"/>
          <w:color w:val="000000"/>
          <w:sz w:val="32"/>
          <w:szCs w:val="32"/>
        </w:rPr>
        <w:t>1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号</w:t>
      </w:r>
    </w:p>
    <w:p>
      <w:pPr>
        <w:spacing w:before="120" w:after="120" w:line="600" w:lineRule="exact"/>
        <w:ind w:firstLine="198" w:firstLineChars="62"/>
        <w:contextualSpacing/>
        <w:jc w:val="center"/>
        <w:rPr>
          <w:rFonts w:ascii="仿宋_GB2312" w:hAnsi="仿宋_GB2312" w:eastAsia="仿宋_GB2312"/>
          <w:sz w:val="32"/>
          <w:szCs w:val="32"/>
        </w:rPr>
      </w:pPr>
    </w:p>
    <w:p>
      <w:pPr>
        <w:widowControl/>
        <w:spacing w:before="100" w:beforeAutospacing="1" w:after="100" w:afterAutospacing="1" w:line="700" w:lineRule="exact"/>
        <w:contextualSpacing/>
        <w:jc w:val="center"/>
        <w:rPr>
          <w:rFonts w:ascii="方正小标宋简体" w:hAnsi="宋体" w:eastAsia="方正小标宋简体" w:cs="宋体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44"/>
        </w:rPr>
        <w:t>关于印发《关于学生申请课程免修的规定</w:t>
      </w:r>
      <w:bookmarkEnd w:id="0"/>
    </w:p>
    <w:p>
      <w:pPr>
        <w:widowControl/>
        <w:spacing w:before="100" w:beforeAutospacing="1" w:after="100" w:afterAutospacing="1" w:line="700" w:lineRule="exact"/>
        <w:contextualSpacing/>
        <w:jc w:val="center"/>
        <w:rPr>
          <w:rFonts w:ascii="方正小标宋简体" w:hAnsi="宋体" w:eastAsia="方正小标宋简体" w:cs="宋体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44"/>
        </w:rPr>
        <w:t>（2020年9月修订）》的通知</w:t>
      </w:r>
    </w:p>
    <w:p>
      <w:pPr>
        <w:widowControl/>
        <w:spacing w:before="100" w:beforeAutospacing="1" w:after="100" w:afterAutospacing="1" w:line="700" w:lineRule="exact"/>
        <w:contextualSpacing/>
        <w:jc w:val="center"/>
        <w:rPr>
          <w:rFonts w:ascii="方正小标宋简体" w:hAnsi="宋体" w:eastAsia="方正小标宋简体" w:cs="宋体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 w:line="600" w:lineRule="exact"/>
        <w:contextualSpacing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各院、处（室）、馆（所）、中心：</w:t>
      </w:r>
    </w:p>
    <w:p>
      <w:pPr>
        <w:widowControl/>
        <w:spacing w:before="100" w:beforeAutospacing="1" w:after="100" w:afterAutospacing="1" w:line="700" w:lineRule="exact"/>
        <w:ind w:firstLine="640" w:firstLineChars="200"/>
        <w:contextualSpacing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现将《关于学生申请课程免修的规定（2020年9月修订）》印发给你们，请遵照执行。</w:t>
      </w:r>
    </w:p>
    <w:p>
      <w:pPr>
        <w:widowControl/>
        <w:spacing w:before="100" w:beforeAutospacing="1" w:after="100" w:afterAutospacing="1" w:line="600" w:lineRule="exact"/>
        <w:ind w:firstLine="630"/>
        <w:contextualSpacing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特此通知。</w:t>
      </w:r>
    </w:p>
    <w:p>
      <w:pPr>
        <w:pStyle w:val="7"/>
        <w:spacing w:before="0" w:beforeAutospacing="0" w:after="0" w:afterAutospacing="0"/>
        <w:ind w:firstLine="645"/>
        <w:rPr>
          <w:rFonts w:ascii="仿宋_GB2312" w:eastAsia="仿宋_GB2312"/>
          <w:sz w:val="32"/>
          <w:szCs w:val="32"/>
        </w:rPr>
      </w:pPr>
    </w:p>
    <w:p>
      <w:pPr>
        <w:widowControl/>
        <w:spacing w:before="100" w:beforeAutospacing="1" w:after="100" w:afterAutospacing="1" w:line="700" w:lineRule="exact"/>
        <w:ind w:firstLine="640" w:firstLineChars="200"/>
        <w:contextualSpacing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附件：关于学生申请课程免修的规定（2020年9月修订）</w:t>
      </w:r>
    </w:p>
    <w:p>
      <w:pPr>
        <w:spacing w:line="600" w:lineRule="exact"/>
        <w:ind w:firstLine="640" w:firstLineChars="200"/>
        <w:contextualSpacing/>
        <w:rPr>
          <w:rFonts w:ascii="仿宋_GB2312" w:eastAsia="仿宋_GB2312" w:hAnsiTheme="minorEastAsia"/>
          <w:sz w:val="32"/>
          <w:szCs w:val="32"/>
        </w:rPr>
      </w:pPr>
    </w:p>
    <w:p>
      <w:pPr>
        <w:spacing w:line="600" w:lineRule="exact"/>
        <w:contextualSpacing/>
        <w:rPr>
          <w:rFonts w:ascii="仿宋_GB2312" w:eastAsia="仿宋_GB2312" w:hAnsiTheme="minorEastAsia"/>
          <w:sz w:val="32"/>
          <w:szCs w:val="32"/>
        </w:rPr>
      </w:pPr>
    </w:p>
    <w:p>
      <w:pPr>
        <w:spacing w:line="600" w:lineRule="exact"/>
        <w:ind w:firstLine="4480" w:firstLineChars="1400"/>
        <w:contextualSpacing/>
        <w:rPr>
          <w:rFonts w:ascii="仿宋_GB2312" w:eastAsia="仿宋_GB2312" w:hAnsiTheme="minorEastAsia"/>
          <w:sz w:val="32"/>
          <w:szCs w:val="32"/>
        </w:rPr>
      </w:pPr>
    </w:p>
    <w:p>
      <w:pPr>
        <w:spacing w:line="600" w:lineRule="exact"/>
        <w:ind w:firstLine="4480" w:firstLineChars="1400"/>
        <w:contextualSpacing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福州理工学院教务处</w:t>
      </w:r>
    </w:p>
    <w:p>
      <w:pPr>
        <w:spacing w:line="600" w:lineRule="exact"/>
        <w:ind w:firstLine="4800" w:firstLineChars="1500"/>
        <w:contextualSpacing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2</w:t>
      </w:r>
      <w:r>
        <w:rPr>
          <w:rFonts w:ascii="仿宋_GB2312" w:eastAsia="仿宋_GB2312" w:hAnsiTheme="minorEastAsia"/>
          <w:sz w:val="32"/>
          <w:szCs w:val="32"/>
        </w:rPr>
        <w:t>020</w:t>
      </w:r>
      <w:r>
        <w:rPr>
          <w:rFonts w:hint="eastAsia" w:ascii="仿宋_GB2312" w:eastAsia="仿宋_GB2312" w:hAnsiTheme="minorEastAsia"/>
          <w:sz w:val="32"/>
          <w:szCs w:val="32"/>
        </w:rPr>
        <w:t>年9月2</w:t>
      </w:r>
      <w:r>
        <w:rPr>
          <w:rFonts w:ascii="仿宋_GB2312" w:eastAsia="仿宋_GB2312" w:hAnsiTheme="minorEastAsia"/>
          <w:sz w:val="32"/>
          <w:szCs w:val="32"/>
        </w:rPr>
        <w:t>4</w:t>
      </w:r>
      <w:r>
        <w:rPr>
          <w:rFonts w:hint="eastAsia" w:ascii="仿宋_GB2312" w:eastAsia="仿宋_GB2312" w:hAnsiTheme="minorEastAsia"/>
          <w:sz w:val="32"/>
          <w:szCs w:val="32"/>
        </w:rPr>
        <w:t>日</w:t>
      </w:r>
    </w:p>
    <w:p>
      <w:pPr>
        <w:spacing w:line="600" w:lineRule="exact"/>
        <w:ind w:firstLine="640" w:firstLineChars="200"/>
        <w:contextualSpacing/>
        <w:rPr>
          <w:rFonts w:ascii="仿宋_GB2312" w:eastAsia="仿宋_GB2312" w:hAnsiTheme="minorEastAsia"/>
          <w:sz w:val="32"/>
          <w:szCs w:val="32"/>
        </w:rPr>
      </w:pPr>
    </w:p>
    <w:p>
      <w:pPr>
        <w:spacing w:line="600" w:lineRule="exact"/>
        <w:ind w:firstLine="640" w:firstLineChars="200"/>
        <w:contextualSpacing/>
        <w:rPr>
          <w:rFonts w:ascii="仿宋_GB2312" w:eastAsia="仿宋_GB2312" w:hAnsiTheme="minorEastAsia"/>
          <w:sz w:val="32"/>
          <w:szCs w:val="32"/>
        </w:rPr>
      </w:pPr>
    </w:p>
    <w:p>
      <w:pPr>
        <w:spacing w:line="600" w:lineRule="exact"/>
        <w:contextualSpacing/>
        <w:rPr>
          <w:rFonts w:ascii="仿宋_GB2312" w:eastAsia="仿宋_GB2312" w:hAnsiTheme="minorEastAsia"/>
          <w:sz w:val="32"/>
          <w:szCs w:val="32"/>
        </w:rPr>
      </w:pPr>
    </w:p>
    <w:p>
      <w:pPr>
        <w:widowControl/>
        <w:snapToGrid w:val="0"/>
        <w:spacing w:before="100" w:beforeAutospacing="1" w:after="100" w:afterAutospacing="1"/>
        <w:jc w:val="left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附件</w:t>
      </w:r>
    </w:p>
    <w:p>
      <w:pPr>
        <w:widowControl/>
        <w:spacing w:before="100" w:beforeAutospacing="1" w:after="100" w:afterAutospacing="1" w:line="700" w:lineRule="exact"/>
        <w:contextualSpacing/>
        <w:jc w:val="center"/>
        <w:rPr>
          <w:rFonts w:ascii="方正小标宋简体" w:hAnsi="宋体" w:eastAsia="方正小标宋简体" w:cs="宋体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44"/>
        </w:rPr>
        <w:t>关于学生申请课程免修的规定</w:t>
      </w:r>
    </w:p>
    <w:p>
      <w:pPr>
        <w:widowControl/>
        <w:spacing w:before="100" w:beforeAutospacing="1" w:after="100" w:afterAutospacing="1" w:line="700" w:lineRule="exact"/>
        <w:contextualSpacing/>
        <w:jc w:val="center"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44"/>
        </w:rPr>
        <w:t>（2020年9月修订）</w:t>
      </w:r>
    </w:p>
    <w:p>
      <w:pPr>
        <w:widowControl/>
        <w:spacing w:before="100" w:beforeAutospacing="1" w:after="100" w:afterAutospacing="1" w:line="700" w:lineRule="exact"/>
        <w:contextualSpacing/>
        <w:jc w:val="center"/>
        <w:rPr>
          <w:rFonts w:ascii="仿宋_GB2312" w:eastAsia="仿宋_GB2312" w:hAnsiTheme="minorEastAsia"/>
          <w:sz w:val="32"/>
          <w:szCs w:val="32"/>
        </w:rPr>
      </w:pPr>
    </w:p>
    <w:p>
      <w:pPr>
        <w:spacing w:line="600" w:lineRule="exact"/>
        <w:ind w:firstLine="640" w:firstLineChars="200"/>
        <w:contextualSpacing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为进一步规范管理，因材施教，充分调动学生学习的积极性、创造性，鼓励学生个性发展，提高教育教学质量和人才培养质量，同时提高学生等级考试证书或岗位认证证书获取率，特制订本课程免修规定。</w:t>
      </w:r>
    </w:p>
    <w:p>
      <w:pPr>
        <w:spacing w:line="600" w:lineRule="exact"/>
        <w:ind w:firstLine="640" w:firstLineChars="200"/>
        <w:contextualSpacing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第一条  课程免修的条件</w:t>
      </w:r>
    </w:p>
    <w:p>
      <w:pPr>
        <w:spacing w:line="600" w:lineRule="exact"/>
        <w:ind w:firstLine="640" w:firstLineChars="200"/>
        <w:contextualSpacing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（一）通过国家组织的等级考试，取得与本专业人才培养方案规定的课程要求相符的单科合格证书者，可免修相应课程。</w:t>
      </w:r>
    </w:p>
    <w:p>
      <w:pPr>
        <w:spacing w:line="600" w:lineRule="exact"/>
        <w:ind w:firstLine="640" w:firstLineChars="200"/>
        <w:contextualSpacing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（二）取得人力资源社会保障部颁发的职业资格证书，经学院认定符合培养方案规定的课程要求的，可免修相应课程。</w:t>
      </w:r>
    </w:p>
    <w:p>
      <w:pPr>
        <w:spacing w:line="600" w:lineRule="exact"/>
        <w:ind w:firstLine="640" w:firstLineChars="200"/>
        <w:contextualSpacing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（三）已在本校取得学分的课程。</w:t>
      </w:r>
    </w:p>
    <w:p>
      <w:pPr>
        <w:spacing w:line="600" w:lineRule="exact"/>
        <w:ind w:firstLine="640" w:firstLineChars="200"/>
        <w:contextualSpacing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（四）因生理缺陷或患某种疾病，无法参加体育课程学习的。</w:t>
      </w:r>
    </w:p>
    <w:p>
      <w:pPr>
        <w:spacing w:line="600" w:lineRule="exact"/>
        <w:ind w:firstLine="640" w:firstLineChars="200"/>
        <w:contextualSpacing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（五）</w:t>
      </w:r>
      <w:r>
        <w:rPr>
          <w:rFonts w:hint="eastAsia" w:ascii="仿宋_GB2312" w:eastAsia="仿宋_GB2312"/>
          <w:sz w:val="32"/>
          <w:szCs w:val="32"/>
        </w:rPr>
        <w:t>退役复学学生依据《退役士兵安置条例》（国务院、中央军事委员会第</w:t>
      </w:r>
      <w:r>
        <w:rPr>
          <w:rFonts w:ascii="仿宋_GB2312" w:eastAsia="仿宋_GB2312"/>
          <w:sz w:val="32"/>
          <w:szCs w:val="32"/>
        </w:rPr>
        <w:t>608</w:t>
      </w:r>
      <w:r>
        <w:rPr>
          <w:rFonts w:hint="eastAsia" w:ascii="仿宋_GB2312" w:eastAsia="仿宋_GB2312"/>
          <w:sz w:val="32"/>
          <w:szCs w:val="32"/>
        </w:rPr>
        <w:t>号）文件，可申请免修的课程。</w:t>
      </w:r>
    </w:p>
    <w:p>
      <w:pPr>
        <w:spacing w:line="600" w:lineRule="exact"/>
        <w:ind w:firstLine="640" w:firstLineChars="200"/>
        <w:contextualSpacing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第二条  课程免修的规定</w:t>
      </w:r>
    </w:p>
    <w:p>
      <w:pPr>
        <w:spacing w:line="600" w:lineRule="exact"/>
        <w:ind w:firstLine="640" w:firstLineChars="200"/>
        <w:contextualSpacing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（一）计算机类课程免修规定</w:t>
      </w:r>
    </w:p>
    <w:p>
      <w:pPr>
        <w:spacing w:line="600" w:lineRule="exact"/>
        <w:ind w:firstLine="640" w:firstLineChars="200"/>
        <w:contextualSpacing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1.</w:t>
      </w:r>
      <w:r>
        <w:rPr>
          <w:rFonts w:hint="eastAsia" w:ascii="仿宋_GB2312" w:eastAsia="仿宋_GB2312" w:hAnsiTheme="minorEastAsia"/>
          <w:color w:val="0000FF"/>
          <w:sz w:val="32"/>
          <w:szCs w:val="32"/>
        </w:rPr>
        <w:t>取得我省高校计算机等级考试一级证书者</w:t>
      </w:r>
      <w:r>
        <w:rPr>
          <w:rFonts w:hint="eastAsia" w:ascii="仿宋_GB2312" w:eastAsia="仿宋_GB2312" w:hAnsiTheme="minorEastAsia"/>
          <w:sz w:val="32"/>
          <w:szCs w:val="32"/>
        </w:rPr>
        <w:t>，</w:t>
      </w:r>
      <w:r>
        <w:rPr>
          <w:rFonts w:hint="eastAsia" w:ascii="仿宋_GB2312" w:eastAsia="仿宋_GB2312" w:hAnsiTheme="minorEastAsia"/>
          <w:color w:val="0000FF"/>
          <w:sz w:val="32"/>
          <w:szCs w:val="32"/>
        </w:rPr>
        <w:t>可申请免修计算机基础课程</w:t>
      </w:r>
      <w:r>
        <w:rPr>
          <w:rFonts w:hint="eastAsia" w:ascii="仿宋_GB2312" w:eastAsia="仿宋_GB2312" w:hAnsiTheme="minorEastAsia"/>
          <w:sz w:val="32"/>
          <w:szCs w:val="32"/>
        </w:rPr>
        <w:t>，该课程的</w:t>
      </w:r>
      <w:r>
        <w:rPr>
          <w:rFonts w:hint="eastAsia" w:ascii="仿宋_GB2312" w:eastAsia="仿宋_GB2312" w:hAnsiTheme="minorEastAsia"/>
          <w:color w:val="0000FF"/>
          <w:sz w:val="32"/>
          <w:szCs w:val="32"/>
        </w:rPr>
        <w:t>成绩按70分记入</w:t>
      </w:r>
      <w:r>
        <w:rPr>
          <w:rFonts w:hint="eastAsia" w:ascii="仿宋_GB2312" w:eastAsia="仿宋_GB2312" w:hAnsiTheme="minorEastAsia"/>
          <w:sz w:val="32"/>
          <w:szCs w:val="32"/>
        </w:rPr>
        <w:t>成绩档案。</w:t>
      </w:r>
    </w:p>
    <w:p>
      <w:pPr>
        <w:spacing w:line="600" w:lineRule="exact"/>
        <w:ind w:firstLine="640" w:firstLineChars="200"/>
        <w:contextualSpacing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2.</w:t>
      </w:r>
      <w:r>
        <w:rPr>
          <w:rFonts w:hint="eastAsia" w:ascii="仿宋_GB2312" w:eastAsia="仿宋_GB2312" w:hAnsiTheme="minorEastAsia"/>
          <w:color w:val="0000FF"/>
          <w:sz w:val="32"/>
          <w:szCs w:val="32"/>
        </w:rPr>
        <w:t>取得我省高校计算机等级考试二级证书者</w:t>
      </w:r>
      <w:r>
        <w:rPr>
          <w:rFonts w:hint="eastAsia" w:ascii="仿宋_GB2312" w:eastAsia="仿宋_GB2312" w:hAnsiTheme="minorEastAsia"/>
          <w:sz w:val="32"/>
          <w:szCs w:val="32"/>
        </w:rPr>
        <w:t>，</w:t>
      </w:r>
      <w:r>
        <w:rPr>
          <w:rFonts w:hint="eastAsia" w:ascii="仿宋_GB2312" w:eastAsia="仿宋_GB2312" w:hAnsiTheme="minorEastAsia"/>
          <w:color w:val="0000FF"/>
          <w:sz w:val="32"/>
          <w:szCs w:val="32"/>
        </w:rPr>
        <w:t>可申请免修相应语言类（如C语言程序设计）课程</w:t>
      </w:r>
      <w:r>
        <w:rPr>
          <w:rFonts w:hint="eastAsia" w:ascii="仿宋_GB2312" w:eastAsia="仿宋_GB2312" w:hAnsiTheme="minorEastAsia"/>
          <w:sz w:val="32"/>
          <w:szCs w:val="32"/>
        </w:rPr>
        <w:t>，该课程的成绩按</w:t>
      </w:r>
      <w:r>
        <w:rPr>
          <w:rFonts w:hint="eastAsia" w:ascii="仿宋_GB2312" w:eastAsia="仿宋_GB2312" w:hAnsiTheme="minorEastAsia"/>
          <w:color w:val="0000FF"/>
          <w:sz w:val="32"/>
          <w:szCs w:val="32"/>
        </w:rPr>
        <w:t>70分记</w:t>
      </w:r>
      <w:r>
        <w:rPr>
          <w:rFonts w:hint="eastAsia" w:ascii="仿宋_GB2312" w:eastAsia="仿宋_GB2312" w:hAnsiTheme="minorEastAsia"/>
          <w:sz w:val="32"/>
          <w:szCs w:val="32"/>
        </w:rPr>
        <w:t>入成绩档案。</w:t>
      </w:r>
    </w:p>
    <w:p>
      <w:pPr>
        <w:spacing w:line="600" w:lineRule="exact"/>
        <w:ind w:firstLine="640" w:firstLineChars="200"/>
        <w:contextualSpacing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3.取得我省高校计算机等级考试三级及三级以上证书者，可以申请免修学校开设的相应课程。该课程的成绩按85分记入成绩档案。</w:t>
      </w:r>
    </w:p>
    <w:p>
      <w:pPr>
        <w:spacing w:line="600" w:lineRule="exact"/>
        <w:ind w:firstLine="640" w:firstLineChars="200"/>
        <w:contextualSpacing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4.全国计算机等级考试级别等同于我省高校计算机等级考试。</w:t>
      </w:r>
    </w:p>
    <w:p>
      <w:pPr>
        <w:spacing w:line="600" w:lineRule="exact"/>
        <w:ind w:firstLine="640" w:firstLineChars="200"/>
        <w:contextualSpacing/>
        <w:rPr>
          <w:rFonts w:ascii="仿宋_GB2312" w:eastAsia="仿宋_GB2312"/>
          <w:color w:val="000000" w:themeColor="text1"/>
          <w:sz w:val="32"/>
          <w:szCs w:val="32"/>
          <w:highlight w:val="yellow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highlight w:val="yellow"/>
          <w14:textFill>
            <w14:solidFill>
              <w14:schemeClr w14:val="tx1"/>
            </w14:solidFill>
          </w14:textFill>
        </w:rPr>
        <w:t>（二）英语类课程免修</w:t>
      </w:r>
    </w:p>
    <w:p>
      <w:pPr>
        <w:spacing w:line="600" w:lineRule="exact"/>
        <w:ind w:firstLine="640" w:firstLineChars="200"/>
        <w:contextualSpacing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通过全国大学生英语</w:t>
      </w:r>
      <w:r>
        <w:rPr>
          <w:rFonts w:hint="eastAsia" w:ascii="仿宋_GB2312" w:eastAsia="仿宋_GB2312" w:hAnsiTheme="minorEastAsia"/>
          <w:color w:val="FF0000"/>
          <w:sz w:val="32"/>
          <w:szCs w:val="32"/>
        </w:rPr>
        <w:t>四级</w:t>
      </w:r>
      <w:r>
        <w:rPr>
          <w:rFonts w:hint="eastAsia" w:ascii="仿宋_GB2312" w:eastAsia="仿宋_GB2312" w:hAnsiTheme="minorEastAsia"/>
          <w:sz w:val="32"/>
          <w:szCs w:val="32"/>
        </w:rPr>
        <w:t>考试者，《大学英语》后续课程免修（</w:t>
      </w:r>
      <w:r>
        <w:rPr>
          <w:rFonts w:hint="eastAsia" w:ascii="仿宋_GB2312" w:eastAsia="仿宋_GB2312" w:hAnsiTheme="minorEastAsia"/>
          <w:color w:val="FF0000"/>
          <w:sz w:val="32"/>
          <w:szCs w:val="32"/>
        </w:rPr>
        <w:t>考试实际分数乘以0.165系数后记入成绩档案</w:t>
      </w:r>
      <w:r>
        <w:rPr>
          <w:rFonts w:hint="eastAsia" w:ascii="仿宋_GB2312" w:eastAsia="仿宋_GB2312" w:hAnsiTheme="minorEastAsia"/>
          <w:sz w:val="32"/>
          <w:szCs w:val="32"/>
        </w:rPr>
        <w:t>）；成绩有效期</w:t>
      </w:r>
      <w:r>
        <w:rPr>
          <w:rFonts w:ascii="仿宋_GB2312" w:eastAsia="仿宋_GB2312" w:hAnsiTheme="minorEastAsia"/>
          <w:sz w:val="32"/>
          <w:szCs w:val="32"/>
        </w:rPr>
        <w:t>2年；</w:t>
      </w:r>
    </w:p>
    <w:p>
      <w:pPr>
        <w:spacing w:line="600" w:lineRule="exact"/>
        <w:ind w:firstLine="640" w:firstLineChars="200"/>
        <w:contextualSpacing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通过全国大学生英语</w:t>
      </w:r>
      <w:r>
        <w:rPr>
          <w:rFonts w:hint="eastAsia" w:ascii="仿宋_GB2312" w:eastAsia="仿宋_GB2312" w:hAnsiTheme="minorEastAsia"/>
          <w:color w:val="FF0000"/>
          <w:sz w:val="32"/>
          <w:szCs w:val="32"/>
        </w:rPr>
        <w:t>六级</w:t>
      </w:r>
      <w:r>
        <w:rPr>
          <w:rFonts w:hint="eastAsia" w:ascii="仿宋_GB2312" w:eastAsia="仿宋_GB2312" w:hAnsiTheme="minorEastAsia"/>
          <w:sz w:val="32"/>
          <w:szCs w:val="32"/>
        </w:rPr>
        <w:t>考试者，《大学英语》后续课程免修（</w:t>
      </w:r>
      <w:r>
        <w:rPr>
          <w:rFonts w:hint="eastAsia" w:ascii="仿宋_GB2312" w:eastAsia="仿宋_GB2312" w:hAnsiTheme="minorEastAsia"/>
          <w:color w:val="FF0000"/>
          <w:sz w:val="32"/>
          <w:szCs w:val="32"/>
        </w:rPr>
        <w:t>考试实际分数乘以0.189系数后记入成绩档案</w:t>
      </w:r>
      <w:r>
        <w:rPr>
          <w:rFonts w:hint="eastAsia" w:ascii="仿宋_GB2312" w:eastAsia="仿宋_GB2312" w:hAnsiTheme="minorEastAsia"/>
          <w:sz w:val="32"/>
          <w:szCs w:val="32"/>
        </w:rPr>
        <w:t>）；成绩有效期</w:t>
      </w:r>
      <w:r>
        <w:rPr>
          <w:rFonts w:ascii="仿宋_GB2312" w:eastAsia="仿宋_GB2312" w:hAnsiTheme="minorEastAsia"/>
          <w:sz w:val="32"/>
          <w:szCs w:val="32"/>
        </w:rPr>
        <w:t>2年；</w:t>
      </w:r>
    </w:p>
    <w:p>
      <w:pPr>
        <w:spacing w:line="600" w:lineRule="exact"/>
        <w:ind w:firstLine="640" w:firstLineChars="200"/>
        <w:contextualSpacing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color w:val="FF0000"/>
          <w:sz w:val="32"/>
          <w:szCs w:val="32"/>
        </w:rPr>
        <w:t>雅思考试</w:t>
      </w:r>
      <w:r>
        <w:rPr>
          <w:rFonts w:hint="eastAsia" w:ascii="仿宋_GB2312" w:eastAsia="仿宋_GB2312" w:hAnsiTheme="minorEastAsia"/>
          <w:sz w:val="32"/>
          <w:szCs w:val="32"/>
        </w:rPr>
        <w:t>6分及以上者，《大学英语》后续课程免修（6分、6.5分、7分、7.5分、8分及以上分别以80分、85分、90分、95分、100分记入成绩档案），成绩有效期</w:t>
      </w:r>
      <w:r>
        <w:rPr>
          <w:rFonts w:ascii="仿宋_GB2312" w:eastAsia="仿宋_GB2312" w:hAnsiTheme="minorEastAsia"/>
          <w:sz w:val="32"/>
          <w:szCs w:val="32"/>
        </w:rPr>
        <w:t>2年；</w:t>
      </w:r>
    </w:p>
    <w:p>
      <w:pPr>
        <w:spacing w:line="600" w:lineRule="exact"/>
        <w:ind w:firstLine="640" w:firstLineChars="200"/>
        <w:contextualSpacing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color w:val="FF0000"/>
          <w:sz w:val="32"/>
          <w:szCs w:val="32"/>
        </w:rPr>
        <w:t>托福考试</w:t>
      </w:r>
      <w:r>
        <w:rPr>
          <w:rFonts w:hint="eastAsia" w:ascii="仿宋_GB2312" w:eastAsia="仿宋_GB2312" w:hAnsiTheme="minorEastAsia"/>
          <w:sz w:val="32"/>
          <w:szCs w:val="32"/>
        </w:rPr>
        <w:t>60分及以上者，《大学英语》后续课程免修（60-78分、79-93分、94-101分、102-109分、110分及以上分别以80分、85分、90分、95分、100分记入成绩档案），成绩有效期</w:t>
      </w:r>
      <w:r>
        <w:rPr>
          <w:rFonts w:ascii="仿宋_GB2312" w:eastAsia="仿宋_GB2312" w:hAnsiTheme="minorEastAsia"/>
          <w:sz w:val="32"/>
          <w:szCs w:val="32"/>
        </w:rPr>
        <w:t>2年</w:t>
      </w:r>
      <w:r>
        <w:rPr>
          <w:rFonts w:hint="eastAsia" w:ascii="仿宋_GB2312" w:eastAsia="仿宋_GB2312" w:hAnsiTheme="minorEastAsia"/>
          <w:sz w:val="32"/>
          <w:szCs w:val="32"/>
        </w:rPr>
        <w:t>。</w:t>
      </w:r>
    </w:p>
    <w:p>
      <w:pPr>
        <w:spacing w:line="600" w:lineRule="exact"/>
        <w:ind w:firstLine="640" w:firstLineChars="200"/>
        <w:contextualSpacing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（三）</w:t>
      </w:r>
      <w:r>
        <w:rPr>
          <w:rFonts w:hint="eastAsia" w:ascii="仿宋_GB2312" w:eastAsia="仿宋_GB2312"/>
          <w:sz w:val="32"/>
          <w:szCs w:val="32"/>
        </w:rPr>
        <w:t>修读日语、俄语等非英语课程的学生，在读期间通过相关语种全国等级考试（日语达到N3等级），或参加第二外语课程且成绩及格、取得学分，可免修培养方案中的《大学英语》课程</w:t>
      </w:r>
      <w:r>
        <w:rPr>
          <w:rFonts w:hint="eastAsia" w:ascii="仿宋_GB2312" w:eastAsia="仿宋_GB2312"/>
          <w:color w:val="FF0000"/>
          <w:sz w:val="32"/>
          <w:szCs w:val="32"/>
        </w:rPr>
        <w:t>，以70分</w:t>
      </w:r>
      <w:r>
        <w:rPr>
          <w:rFonts w:hint="eastAsia" w:ascii="仿宋_GB2312" w:eastAsia="仿宋_GB2312" w:hAnsiTheme="minorEastAsia"/>
          <w:color w:val="FF0000"/>
          <w:sz w:val="32"/>
          <w:szCs w:val="32"/>
        </w:rPr>
        <w:t>记入成绩档案</w:t>
      </w:r>
      <w:r>
        <w:rPr>
          <w:rFonts w:hint="eastAsia" w:ascii="仿宋_GB2312" w:eastAsia="仿宋_GB2312"/>
          <w:color w:val="FF0000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pacing w:line="600" w:lineRule="exact"/>
        <w:ind w:firstLine="640" w:firstLineChars="200"/>
        <w:contextualSpacing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（四）其他各类通过认证的职业资格证书由各学院自行制定细则，明确是否符合免修条件并作成绩确认，细则需报备教务处后方可执行。</w:t>
      </w:r>
    </w:p>
    <w:p>
      <w:pPr>
        <w:spacing w:line="600" w:lineRule="exact"/>
        <w:ind w:firstLine="640" w:firstLineChars="200"/>
        <w:contextualSpacing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（五）符合第一项（三）条规定的学生可参照《福州理工学院学生课程及学分认定办法（修订）》于开课后一周内申请已修免修，成绩按原考试成绩记入成绩档案。</w:t>
      </w:r>
    </w:p>
    <w:p>
      <w:pPr>
        <w:spacing w:line="600" w:lineRule="exact"/>
        <w:ind w:firstLine="640" w:firstLineChars="200"/>
        <w:contextualSpacing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（六）因生理缺陷或患某种疾病，无法参加体育课程学习的，参照《福州理工学院体育俱乐部管理规定》，持学院指定的二级甲等以上医院的证明材料，申请参加体育保健课程项目学习,取得学分。</w:t>
      </w:r>
    </w:p>
    <w:p>
      <w:pPr>
        <w:spacing w:line="600" w:lineRule="exact"/>
        <w:ind w:firstLine="640" w:firstLineChars="200"/>
        <w:contextualSpacing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（七）在校大学生士兵退役复学的，</w:t>
      </w:r>
      <w:r>
        <w:rPr>
          <w:rFonts w:hint="eastAsia" w:ascii="仿宋_GB2312" w:eastAsia="仿宋_GB2312" w:hAnsiTheme="minorEastAsia"/>
          <w:color w:val="FF0000"/>
          <w:sz w:val="32"/>
          <w:szCs w:val="32"/>
        </w:rPr>
        <w:t>公共体育、军事技能训练和军事理论等</w:t>
      </w:r>
      <w:r>
        <w:rPr>
          <w:rFonts w:hint="eastAsia" w:ascii="仿宋_GB2312" w:eastAsia="仿宋_GB2312" w:hAnsiTheme="minorEastAsia"/>
          <w:sz w:val="32"/>
          <w:szCs w:val="32"/>
        </w:rPr>
        <w:t>课程免予考试，直接获得学分，相应课程</w:t>
      </w:r>
      <w:r>
        <w:rPr>
          <w:rFonts w:hint="eastAsia" w:ascii="仿宋_GB2312" w:eastAsia="仿宋_GB2312" w:hAnsiTheme="minorEastAsia"/>
          <w:color w:val="FF0000"/>
          <w:sz w:val="32"/>
          <w:szCs w:val="32"/>
        </w:rPr>
        <w:t>按</w:t>
      </w:r>
      <w:r>
        <w:rPr>
          <w:rFonts w:ascii="仿宋_GB2312" w:eastAsia="仿宋_GB2312" w:hAnsiTheme="minorEastAsia"/>
          <w:color w:val="FF0000"/>
          <w:sz w:val="32"/>
          <w:szCs w:val="32"/>
        </w:rPr>
        <w:t>85</w:t>
      </w:r>
      <w:r>
        <w:rPr>
          <w:rFonts w:hint="eastAsia" w:ascii="仿宋_GB2312" w:eastAsia="仿宋_GB2312" w:hAnsiTheme="minorEastAsia"/>
          <w:color w:val="FF0000"/>
          <w:sz w:val="32"/>
          <w:szCs w:val="32"/>
        </w:rPr>
        <w:t>分</w:t>
      </w:r>
      <w:r>
        <w:rPr>
          <w:rFonts w:hint="eastAsia" w:ascii="仿宋_GB2312" w:eastAsia="仿宋_GB2312" w:hAnsiTheme="minorEastAsia"/>
          <w:sz w:val="32"/>
          <w:szCs w:val="32"/>
        </w:rPr>
        <w:t>记入成绩档案。</w:t>
      </w:r>
    </w:p>
    <w:p>
      <w:pPr>
        <w:spacing w:line="600" w:lineRule="exact"/>
        <w:ind w:firstLine="640" w:firstLineChars="200"/>
        <w:contextualSpacing/>
        <w:rPr>
          <w:rFonts w:ascii="仿宋_GB2312" w:eastAsia="仿宋_GB2312" w:hAnsiTheme="minorEastAsia"/>
          <w:color w:val="FF0000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应届毕业生批准入伍后，可将</w:t>
      </w:r>
      <w:r>
        <w:rPr>
          <w:rFonts w:hint="eastAsia" w:ascii="仿宋_GB2312" w:eastAsia="仿宋_GB2312" w:hAnsiTheme="minorEastAsia"/>
          <w:color w:val="FF0000"/>
          <w:sz w:val="32"/>
          <w:szCs w:val="32"/>
        </w:rPr>
        <w:t>参军入伍视为参加实习</w:t>
      </w:r>
      <w:r>
        <w:rPr>
          <w:rFonts w:hint="eastAsia" w:ascii="仿宋_GB2312" w:eastAsia="仿宋_GB2312" w:hAnsiTheme="minorEastAsia"/>
          <w:sz w:val="32"/>
          <w:szCs w:val="32"/>
        </w:rPr>
        <w:t>，由服役部队或入伍地县（市、区）人武部</w:t>
      </w:r>
      <w:r>
        <w:rPr>
          <w:rFonts w:hint="eastAsia" w:ascii="仿宋_GB2312" w:eastAsia="仿宋_GB2312" w:hAnsiTheme="minorEastAsia"/>
          <w:color w:val="FF0000"/>
          <w:sz w:val="32"/>
          <w:szCs w:val="32"/>
        </w:rPr>
        <w:t>出具在部队的服役情况，写出实习小结，抵实习成绩。</w:t>
      </w:r>
    </w:p>
    <w:p>
      <w:pPr>
        <w:spacing w:line="600" w:lineRule="exact"/>
        <w:ind w:firstLine="640" w:firstLineChars="200"/>
        <w:contextualSpacing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第三条  免修申请及审批程序</w:t>
      </w:r>
    </w:p>
    <w:p>
      <w:pPr>
        <w:spacing w:line="600" w:lineRule="exact"/>
        <w:ind w:firstLine="640" w:firstLineChars="200"/>
        <w:contextualSpacing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（一）申请课程免修的学生，</w:t>
      </w:r>
      <w:r>
        <w:rPr>
          <w:rFonts w:hint="eastAsia" w:ascii="仿宋_GB2312" w:eastAsia="仿宋_GB2312" w:hAnsiTheme="minorEastAsia"/>
          <w:color w:val="FF0000"/>
          <w:sz w:val="32"/>
          <w:szCs w:val="32"/>
        </w:rPr>
        <w:t>须在开课后一周内，或上述有效考核成绩公布后一周内</w:t>
      </w:r>
      <w:r>
        <w:rPr>
          <w:rFonts w:hint="eastAsia" w:ascii="仿宋_GB2312" w:eastAsia="仿宋_GB2312" w:hAnsiTheme="minorEastAsia"/>
          <w:color w:val="FF0000"/>
          <w:sz w:val="32"/>
          <w:szCs w:val="32"/>
          <w:highlight w:val="yellow"/>
        </w:rPr>
        <w:t>登录系统</w:t>
      </w:r>
      <w:r>
        <w:rPr>
          <w:rFonts w:hint="eastAsia" w:ascii="仿宋_GB2312" w:eastAsia="仿宋_GB2312" w:hAnsiTheme="minorEastAsia"/>
          <w:sz w:val="32"/>
          <w:szCs w:val="32"/>
        </w:rPr>
        <w:t>提交免修申请，按要求填写并上传相关佐证附件。</w:t>
      </w:r>
    </w:p>
    <w:p>
      <w:pPr>
        <w:spacing w:line="600" w:lineRule="exact"/>
        <w:ind w:firstLine="640" w:firstLineChars="200"/>
        <w:contextualSpacing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（二）学生所在学院负责核实学生提供的免修课程成绩证明或相关证书，核实无误后通过审批。</w:t>
      </w:r>
    </w:p>
    <w:p>
      <w:pPr>
        <w:spacing w:line="600" w:lineRule="exact"/>
        <w:ind w:firstLine="640" w:firstLineChars="200"/>
        <w:contextualSpacing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（三）教务处成绩管理人员经系统做审批后确认。</w:t>
      </w:r>
    </w:p>
    <w:p>
      <w:pPr>
        <w:spacing w:line="600" w:lineRule="exact"/>
        <w:ind w:firstLine="640" w:firstLineChars="200"/>
        <w:contextualSpacing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（四）学生须如实提供免修课程的有关证明，弄虚作假者一经查实，取消其免修资格，并按照相关纪律严肃处理。免修申请未通过前不得在其申请免修课程的授课时间擅自停学、旷课。</w:t>
      </w:r>
    </w:p>
    <w:p>
      <w:pPr>
        <w:spacing w:line="600" w:lineRule="exact"/>
        <w:ind w:firstLine="640" w:firstLineChars="200"/>
        <w:contextualSpacing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第四条  免修成绩认定及记载</w:t>
      </w:r>
    </w:p>
    <w:p>
      <w:pPr>
        <w:spacing w:line="600" w:lineRule="exact"/>
        <w:ind w:firstLine="640" w:firstLineChars="200"/>
        <w:contextualSpacing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（一）凡经所在学院批准获得免修资格的学生，即可获得该课程相应的学分。</w:t>
      </w:r>
    </w:p>
    <w:p>
      <w:pPr>
        <w:spacing w:line="600" w:lineRule="exact"/>
        <w:ind w:firstLine="640" w:firstLineChars="200"/>
        <w:contextualSpacing/>
        <w:rPr>
          <w:rFonts w:ascii="仿宋_GB2312" w:eastAsia="仿宋_GB2312" w:hAnsiTheme="minorEastAsia"/>
          <w:color w:val="FF0000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（二）免修课程的成绩按对应分数记入成绩档案，</w:t>
      </w:r>
      <w:bookmarkStart w:id="1" w:name="_GoBack"/>
      <w:r>
        <w:rPr>
          <w:rFonts w:hint="eastAsia" w:ascii="仿宋_GB2312" w:eastAsia="仿宋_GB2312" w:hAnsiTheme="minorEastAsia"/>
          <w:color w:val="FF0000"/>
          <w:sz w:val="32"/>
          <w:szCs w:val="32"/>
        </w:rPr>
        <w:t>如作为免修依据的证书没有提供明确的成绩，原则上按70分计记入成绩档案。</w:t>
      </w:r>
    </w:p>
    <w:bookmarkEnd w:id="1"/>
    <w:p>
      <w:pPr>
        <w:spacing w:line="600" w:lineRule="exact"/>
        <w:ind w:firstLine="640" w:firstLineChars="200"/>
        <w:contextualSpacing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第五条  免修的学生应妥善安排自己学习，不得私自外出。可在学院开放的实验室、阅览室及其它自习场所自习。</w:t>
      </w:r>
    </w:p>
    <w:p>
      <w:pPr>
        <w:spacing w:line="600" w:lineRule="exact"/>
        <w:ind w:firstLine="640" w:firstLineChars="200"/>
        <w:contextualSpacing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第六条  本规定自发布之日起施行，未尽事宜由教务处负责解释，《关于学生申请课程免修的规定》（福理工教〔2016〕42号）同时废止。</w:t>
      </w:r>
    </w:p>
    <w:p>
      <w:pPr>
        <w:spacing w:line="600" w:lineRule="exact"/>
        <w:ind w:firstLine="640" w:firstLineChars="200"/>
        <w:contextualSpacing/>
        <w:rPr>
          <w:rFonts w:ascii="仿宋_GB2312" w:eastAsia="仿宋_GB2312" w:hAnsiTheme="minorEastAsia"/>
          <w:sz w:val="32"/>
          <w:szCs w:val="32"/>
        </w:rPr>
      </w:pPr>
    </w:p>
    <w:p>
      <w:pPr>
        <w:spacing w:line="600" w:lineRule="exact"/>
        <w:ind w:firstLine="5120" w:firstLineChars="1600"/>
        <w:contextualSpacing/>
        <w:rPr>
          <w:rFonts w:ascii="仿宋_GB2312" w:eastAsia="仿宋_GB2312" w:hAnsiTheme="minorEastAsia"/>
          <w:sz w:val="32"/>
          <w:szCs w:val="32"/>
        </w:rPr>
      </w:pPr>
    </w:p>
    <w:p>
      <w:pPr>
        <w:spacing w:line="600" w:lineRule="exact"/>
        <w:ind w:firstLine="5440" w:firstLineChars="1700"/>
        <w:contextualSpacing/>
        <w:rPr>
          <w:rFonts w:ascii="仿宋_GB2312" w:eastAsia="仿宋_GB2312" w:hAnsiTheme="minorEastAsia"/>
          <w:sz w:val="32"/>
          <w:szCs w:val="32"/>
        </w:rPr>
      </w:pPr>
    </w:p>
    <w:p>
      <w:pPr>
        <w:spacing w:line="600" w:lineRule="exact"/>
        <w:ind w:firstLine="5440" w:firstLineChars="1700"/>
        <w:contextualSpacing/>
        <w:rPr>
          <w:rFonts w:ascii="仿宋_GB2312" w:eastAsia="仿宋_GB2312" w:hAnsiTheme="minorEastAsia"/>
          <w:sz w:val="32"/>
          <w:szCs w:val="32"/>
        </w:rPr>
      </w:pPr>
    </w:p>
    <w:p>
      <w:pPr>
        <w:spacing w:line="600" w:lineRule="exact"/>
        <w:ind w:firstLine="5440" w:firstLineChars="1700"/>
        <w:contextualSpacing/>
        <w:rPr>
          <w:rFonts w:ascii="仿宋_GB2312" w:eastAsia="仿宋_GB2312" w:hAnsiTheme="minorEastAsia"/>
          <w:sz w:val="32"/>
          <w:szCs w:val="32"/>
        </w:rPr>
      </w:pPr>
    </w:p>
    <w:p>
      <w:pPr>
        <w:spacing w:line="600" w:lineRule="exact"/>
        <w:ind w:firstLine="5440" w:firstLineChars="1700"/>
        <w:contextualSpacing/>
        <w:rPr>
          <w:rFonts w:ascii="仿宋_GB2312" w:eastAsia="仿宋_GB2312" w:hAnsiTheme="minorEastAsia"/>
          <w:sz w:val="32"/>
          <w:szCs w:val="32"/>
        </w:rPr>
      </w:pPr>
    </w:p>
    <w:p>
      <w:pPr>
        <w:spacing w:line="600" w:lineRule="exact"/>
        <w:ind w:firstLine="5440" w:firstLineChars="1700"/>
        <w:contextualSpacing/>
        <w:rPr>
          <w:rFonts w:ascii="仿宋_GB2312" w:eastAsia="仿宋_GB2312" w:hAnsiTheme="minorEastAsia"/>
          <w:sz w:val="32"/>
          <w:szCs w:val="32"/>
        </w:rPr>
      </w:pPr>
    </w:p>
    <w:p>
      <w:pPr>
        <w:spacing w:line="600" w:lineRule="exact"/>
        <w:ind w:firstLine="5440" w:firstLineChars="1700"/>
        <w:contextualSpacing/>
        <w:rPr>
          <w:rFonts w:ascii="仿宋_GB2312" w:eastAsia="仿宋_GB2312" w:hAnsiTheme="minorEastAsia"/>
          <w:sz w:val="32"/>
          <w:szCs w:val="32"/>
        </w:rPr>
      </w:pPr>
    </w:p>
    <w:p>
      <w:pPr>
        <w:spacing w:line="600" w:lineRule="exact"/>
        <w:ind w:firstLine="5440" w:firstLineChars="1700"/>
        <w:contextualSpacing/>
        <w:rPr>
          <w:rFonts w:ascii="仿宋_GB2312" w:eastAsia="仿宋_GB2312" w:hAnsiTheme="minorEastAsia"/>
          <w:sz w:val="32"/>
          <w:szCs w:val="32"/>
        </w:rPr>
      </w:pPr>
    </w:p>
    <w:p>
      <w:pPr>
        <w:spacing w:line="600" w:lineRule="exact"/>
        <w:ind w:firstLine="5440" w:firstLineChars="1700"/>
        <w:contextualSpacing/>
        <w:rPr>
          <w:rFonts w:ascii="仿宋_GB2312" w:eastAsia="仿宋_GB2312" w:hAnsiTheme="minorEastAsia"/>
          <w:sz w:val="32"/>
          <w:szCs w:val="32"/>
        </w:rPr>
      </w:pPr>
    </w:p>
    <w:p>
      <w:pPr>
        <w:spacing w:line="600" w:lineRule="exact"/>
        <w:ind w:firstLine="5440" w:firstLineChars="1700"/>
        <w:contextualSpacing/>
        <w:rPr>
          <w:rFonts w:ascii="仿宋_GB2312" w:eastAsia="仿宋_GB2312" w:hAnsiTheme="minorEastAsia"/>
          <w:sz w:val="32"/>
          <w:szCs w:val="32"/>
        </w:rPr>
      </w:pPr>
    </w:p>
    <w:p>
      <w:pPr>
        <w:spacing w:line="600" w:lineRule="exact"/>
        <w:ind w:firstLine="5440" w:firstLineChars="1700"/>
        <w:contextualSpacing/>
        <w:rPr>
          <w:rFonts w:ascii="仿宋_GB2312" w:eastAsia="仿宋_GB2312" w:hAnsiTheme="minorEastAsia"/>
          <w:sz w:val="32"/>
          <w:szCs w:val="32"/>
        </w:rPr>
      </w:pPr>
    </w:p>
    <w:p>
      <w:pPr>
        <w:spacing w:line="600" w:lineRule="exact"/>
        <w:contextualSpacing/>
        <w:rPr>
          <w:rFonts w:hint="eastAsia" w:ascii="仿宋_GB2312" w:eastAsia="仿宋_GB2312" w:hAnsiTheme="minorEastAsia"/>
          <w:sz w:val="32"/>
          <w:szCs w:val="32"/>
        </w:rPr>
      </w:pPr>
    </w:p>
    <w:p>
      <w:pPr>
        <w:spacing w:line="600" w:lineRule="exact"/>
        <w:ind w:firstLine="5440" w:firstLineChars="1700"/>
        <w:contextualSpacing/>
        <w:rPr>
          <w:rFonts w:ascii="仿宋_GB2312" w:eastAsia="仿宋_GB2312" w:hAnsiTheme="minorEastAsia"/>
          <w:sz w:val="32"/>
          <w:szCs w:val="32"/>
        </w:rPr>
      </w:pPr>
    </w:p>
    <w:p>
      <w:pPr>
        <w:spacing w:line="600" w:lineRule="exact"/>
        <w:ind w:firstLine="5440" w:firstLineChars="1700"/>
        <w:contextualSpacing/>
        <w:rPr>
          <w:rFonts w:ascii="仿宋_GB2312" w:eastAsia="仿宋_GB2312" w:hAnsiTheme="minorEastAsia"/>
          <w:sz w:val="32"/>
          <w:szCs w:val="32"/>
        </w:rPr>
      </w:pPr>
    </w:p>
    <w:p>
      <w:pPr>
        <w:spacing w:line="600" w:lineRule="exact"/>
        <w:ind w:firstLine="5440" w:firstLineChars="1700"/>
        <w:contextualSpacing/>
        <w:rPr>
          <w:rFonts w:ascii="仿宋_GB2312" w:eastAsia="仿宋_GB2312" w:hAnsiTheme="minorEastAsia"/>
          <w:sz w:val="32"/>
          <w:szCs w:val="32"/>
        </w:rPr>
      </w:pPr>
    </w:p>
    <w:p>
      <w:pPr>
        <w:spacing w:line="600" w:lineRule="exact"/>
        <w:ind w:firstLine="5440" w:firstLineChars="1700"/>
        <w:contextualSpacing/>
        <w:rPr>
          <w:rFonts w:ascii="仿宋_GB2312" w:eastAsia="仿宋_GB2312" w:hAnsiTheme="minorEastAsia"/>
          <w:sz w:val="32"/>
          <w:szCs w:val="32"/>
        </w:rPr>
      </w:pPr>
    </w:p>
    <w:p>
      <w:pPr>
        <w:spacing w:line="600" w:lineRule="exact"/>
        <w:ind w:firstLine="5440" w:firstLineChars="1700"/>
        <w:contextualSpacing/>
        <w:rPr>
          <w:rFonts w:ascii="仿宋_GB2312" w:eastAsia="仿宋_GB2312" w:hAnsiTheme="minorEastAsia"/>
          <w:sz w:val="32"/>
          <w:szCs w:val="32"/>
        </w:rPr>
      </w:pPr>
    </w:p>
    <w:p>
      <w:pPr>
        <w:spacing w:line="600" w:lineRule="exact"/>
        <w:ind w:firstLine="5440" w:firstLineChars="1700"/>
        <w:contextualSpacing/>
        <w:rPr>
          <w:rFonts w:ascii="仿宋_GB2312" w:eastAsia="仿宋_GB2312" w:hAnsiTheme="minorEastAsia"/>
          <w:sz w:val="32"/>
          <w:szCs w:val="32"/>
        </w:rPr>
      </w:pPr>
    </w:p>
    <w:p>
      <w:pPr>
        <w:pBdr>
          <w:top w:val="single" w:color="auto" w:sz="6" w:space="1"/>
          <w:bottom w:val="single" w:color="auto" w:sz="6" w:space="1"/>
        </w:pBdr>
        <w:spacing w:line="600" w:lineRule="exact"/>
        <w:ind w:firstLine="320" w:firstLineChars="100"/>
        <w:contextualSpacing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 xml:space="preserve">福州理工学院教务处 </w:t>
      </w:r>
      <w:r>
        <w:rPr>
          <w:rFonts w:ascii="仿宋_GB2312" w:eastAsia="仿宋_GB2312" w:hAnsiTheme="minorEastAsia"/>
          <w:sz w:val="32"/>
          <w:szCs w:val="32"/>
        </w:rPr>
        <w:t xml:space="preserve">          </w:t>
      </w:r>
      <w:r>
        <w:rPr>
          <w:rFonts w:hint="eastAsia" w:ascii="仿宋_GB2312" w:eastAsia="仿宋_GB2312" w:hAnsiTheme="minorEastAsia"/>
          <w:sz w:val="32"/>
          <w:szCs w:val="32"/>
        </w:rPr>
        <w:t>2</w:t>
      </w:r>
      <w:r>
        <w:rPr>
          <w:rFonts w:ascii="仿宋_GB2312" w:eastAsia="仿宋_GB2312" w:hAnsiTheme="minorEastAsia"/>
          <w:sz w:val="32"/>
          <w:szCs w:val="32"/>
        </w:rPr>
        <w:t>020</w:t>
      </w:r>
      <w:r>
        <w:rPr>
          <w:rFonts w:hint="eastAsia" w:ascii="仿宋_GB2312" w:eastAsia="仿宋_GB2312" w:hAnsiTheme="minorEastAsia"/>
          <w:sz w:val="32"/>
          <w:szCs w:val="32"/>
        </w:rPr>
        <w:t>年9月2</w:t>
      </w:r>
      <w:r>
        <w:rPr>
          <w:rFonts w:ascii="仿宋_GB2312" w:eastAsia="仿宋_GB2312" w:hAnsiTheme="minorEastAsia"/>
          <w:sz w:val="32"/>
          <w:szCs w:val="32"/>
        </w:rPr>
        <w:t>4</w:t>
      </w:r>
      <w:r>
        <w:rPr>
          <w:rFonts w:hint="eastAsia" w:ascii="仿宋_GB2312" w:eastAsia="仿宋_GB2312" w:hAnsiTheme="minorEastAsia"/>
          <w:sz w:val="32"/>
          <w:szCs w:val="32"/>
        </w:rPr>
        <w:t>日印发</w:t>
      </w:r>
    </w:p>
    <w:sectPr>
      <w:footerReference r:id="rId3" w:type="default"/>
      <w:footerReference r:id="rId4" w:type="even"/>
      <w:pgSz w:w="11906" w:h="16838"/>
      <w:pgMar w:top="1588" w:right="1797" w:bottom="1440" w:left="179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</w:pP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81426301"/>
      <w:docPartObj>
        <w:docPartGallery w:val="AutoText"/>
      </w:docPartObj>
    </w:sdtPr>
    <w:sdtEndPr>
      <w:rPr>
        <w:rFonts w:ascii="宋体" w:hAnsi="宋体"/>
        <w:sz w:val="28"/>
        <w:szCs w:val="28"/>
      </w:rPr>
    </w:sdtEndPr>
    <w:sdtContent>
      <w:p>
        <w:pPr>
          <w:pStyle w:val="5"/>
          <w:rPr>
            <w:rFonts w:ascii="宋体" w:hAnsi="宋体"/>
            <w:sz w:val="28"/>
            <w:szCs w:val="28"/>
          </w:rPr>
        </w:pP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 PAGE   \* MERGEFORMAT 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-</w:t>
        </w:r>
        <w:r>
          <w:rPr>
            <w:rFonts w:ascii="宋体" w:hAnsi="宋体"/>
            <w:sz w:val="28"/>
            <w:szCs w:val="28"/>
          </w:rPr>
          <w:t xml:space="preserve"> 6 -</w:t>
        </w:r>
        <w:r>
          <w:rPr>
            <w:rFonts w:ascii="宋体" w:hAnsi="宋体"/>
            <w:sz w:val="28"/>
            <w:szCs w:val="28"/>
          </w:rPr>
          <w:fldChar w:fldCharType="end"/>
        </w:r>
      </w:p>
    </w:sdtContent>
  </w:sdt>
  <w:p>
    <w:pPr>
      <w:pStyle w:val="5"/>
      <w:rPr>
        <w:rFonts w:asciiTheme="minorEastAsia" w:hAnsiTheme="minorEastAsia" w:eastAsiaTheme="minorEastAsia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B05E7"/>
    <w:rsid w:val="00013E81"/>
    <w:rsid w:val="00082801"/>
    <w:rsid w:val="00086279"/>
    <w:rsid w:val="00097CC7"/>
    <w:rsid w:val="000B6464"/>
    <w:rsid w:val="000E1EE2"/>
    <w:rsid w:val="000E74C0"/>
    <w:rsid w:val="00105A34"/>
    <w:rsid w:val="00185B15"/>
    <w:rsid w:val="00195CF2"/>
    <w:rsid w:val="001B05E7"/>
    <w:rsid w:val="001C5908"/>
    <w:rsid w:val="001E22A9"/>
    <w:rsid w:val="002A0E01"/>
    <w:rsid w:val="002B469A"/>
    <w:rsid w:val="002F4884"/>
    <w:rsid w:val="003271AD"/>
    <w:rsid w:val="00334AB3"/>
    <w:rsid w:val="003403C8"/>
    <w:rsid w:val="00344895"/>
    <w:rsid w:val="00351788"/>
    <w:rsid w:val="00385290"/>
    <w:rsid w:val="00386AAF"/>
    <w:rsid w:val="003A74D8"/>
    <w:rsid w:val="003B4141"/>
    <w:rsid w:val="003D0359"/>
    <w:rsid w:val="003D390F"/>
    <w:rsid w:val="003F7EE9"/>
    <w:rsid w:val="00414CCF"/>
    <w:rsid w:val="00432E74"/>
    <w:rsid w:val="00463B47"/>
    <w:rsid w:val="00480D42"/>
    <w:rsid w:val="004974E7"/>
    <w:rsid w:val="004A6EA6"/>
    <w:rsid w:val="004B436A"/>
    <w:rsid w:val="004B6A5D"/>
    <w:rsid w:val="004C6E8E"/>
    <w:rsid w:val="004D3A67"/>
    <w:rsid w:val="004E17E1"/>
    <w:rsid w:val="004E3D66"/>
    <w:rsid w:val="004E437C"/>
    <w:rsid w:val="004E7577"/>
    <w:rsid w:val="00526B46"/>
    <w:rsid w:val="005274BB"/>
    <w:rsid w:val="005577C3"/>
    <w:rsid w:val="005632D6"/>
    <w:rsid w:val="00566FD7"/>
    <w:rsid w:val="005B2E8F"/>
    <w:rsid w:val="005E0E15"/>
    <w:rsid w:val="006164CA"/>
    <w:rsid w:val="00621EE7"/>
    <w:rsid w:val="00630D68"/>
    <w:rsid w:val="00666698"/>
    <w:rsid w:val="00672DFB"/>
    <w:rsid w:val="00676442"/>
    <w:rsid w:val="006A5507"/>
    <w:rsid w:val="006B78C4"/>
    <w:rsid w:val="006C59C3"/>
    <w:rsid w:val="006D6097"/>
    <w:rsid w:val="006F427F"/>
    <w:rsid w:val="006F6929"/>
    <w:rsid w:val="00701AB3"/>
    <w:rsid w:val="00716CD0"/>
    <w:rsid w:val="0072146A"/>
    <w:rsid w:val="00741386"/>
    <w:rsid w:val="007530DA"/>
    <w:rsid w:val="00776D79"/>
    <w:rsid w:val="007779C8"/>
    <w:rsid w:val="007854E1"/>
    <w:rsid w:val="007870FE"/>
    <w:rsid w:val="00811B3B"/>
    <w:rsid w:val="00886A99"/>
    <w:rsid w:val="008C1A79"/>
    <w:rsid w:val="008E3E3B"/>
    <w:rsid w:val="00900FB7"/>
    <w:rsid w:val="009323D4"/>
    <w:rsid w:val="00986372"/>
    <w:rsid w:val="00A50EA9"/>
    <w:rsid w:val="00A91622"/>
    <w:rsid w:val="00AB5E32"/>
    <w:rsid w:val="00B52425"/>
    <w:rsid w:val="00B577C0"/>
    <w:rsid w:val="00B619AE"/>
    <w:rsid w:val="00B774CE"/>
    <w:rsid w:val="00B81943"/>
    <w:rsid w:val="00BA37D7"/>
    <w:rsid w:val="00BA3F2C"/>
    <w:rsid w:val="00BA5D37"/>
    <w:rsid w:val="00BD19D4"/>
    <w:rsid w:val="00BD6D8C"/>
    <w:rsid w:val="00BD7365"/>
    <w:rsid w:val="00C13DCA"/>
    <w:rsid w:val="00C400DE"/>
    <w:rsid w:val="00C57C96"/>
    <w:rsid w:val="00C6073E"/>
    <w:rsid w:val="00C62A62"/>
    <w:rsid w:val="00C73F13"/>
    <w:rsid w:val="00C979FF"/>
    <w:rsid w:val="00CB6058"/>
    <w:rsid w:val="00CC061E"/>
    <w:rsid w:val="00CF029E"/>
    <w:rsid w:val="00CF38F3"/>
    <w:rsid w:val="00D05FD2"/>
    <w:rsid w:val="00D30933"/>
    <w:rsid w:val="00D33153"/>
    <w:rsid w:val="00D538FC"/>
    <w:rsid w:val="00D57309"/>
    <w:rsid w:val="00DC1F04"/>
    <w:rsid w:val="00DF7A06"/>
    <w:rsid w:val="00E568C5"/>
    <w:rsid w:val="00E5796C"/>
    <w:rsid w:val="00E96236"/>
    <w:rsid w:val="00E97C0F"/>
    <w:rsid w:val="00EA373F"/>
    <w:rsid w:val="00ED6531"/>
    <w:rsid w:val="00F14C00"/>
    <w:rsid w:val="00F458C3"/>
    <w:rsid w:val="00FE5AF1"/>
    <w:rsid w:val="02904985"/>
    <w:rsid w:val="0E616622"/>
    <w:rsid w:val="0F2D2EA2"/>
    <w:rsid w:val="40946CAA"/>
    <w:rsid w:val="60116E2E"/>
    <w:rsid w:val="75D3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uiPriority w:val="99"/>
    <w:pPr>
      <w:spacing w:line="240" w:lineRule="auto"/>
      <w:jc w:val="left"/>
    </w:pPr>
    <w:rPr>
      <w:rFonts w:asciiTheme="minorHAnsi" w:hAnsiTheme="minorHAnsi" w:eastAsiaTheme="minorEastAsia" w:cstheme="minorBidi"/>
      <w:szCs w:val="22"/>
    </w:rPr>
  </w:style>
  <w:style w:type="paragraph" w:styleId="3">
    <w:name w:val="Date"/>
    <w:basedOn w:val="1"/>
    <w:next w:val="1"/>
    <w:link w:val="19"/>
    <w:semiHidden/>
    <w:unhideWhenUsed/>
    <w:uiPriority w:val="99"/>
    <w:pPr>
      <w:ind w:left="100" w:leftChars="2500"/>
    </w:pPr>
  </w:style>
  <w:style w:type="paragraph" w:styleId="4">
    <w:name w:val="Balloon Text"/>
    <w:basedOn w:val="1"/>
    <w:link w:val="14"/>
    <w:semiHidden/>
    <w:unhideWhenUsed/>
    <w:uiPriority w:val="99"/>
    <w:pPr>
      <w:spacing w:line="240" w:lineRule="auto"/>
    </w:pPr>
    <w:rPr>
      <w:sz w:val="18"/>
      <w:szCs w:val="18"/>
    </w:rPr>
  </w:style>
  <w:style w:type="paragraph" w:styleId="5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7">
    <w:name w:val="Normal (Web)"/>
    <w:basedOn w:val="1"/>
    <w:unhideWhenUsed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 w:cs="Times New Roman"/>
      <w:kern w:val="0"/>
      <w:sz w:val="24"/>
      <w:szCs w:val="24"/>
    </w:rPr>
  </w:style>
  <w:style w:type="paragraph" w:styleId="8">
    <w:name w:val="annotation subject"/>
    <w:basedOn w:val="2"/>
    <w:next w:val="2"/>
    <w:link w:val="17"/>
    <w:semiHidden/>
    <w:unhideWhenUsed/>
    <w:qFormat/>
    <w:uiPriority w:val="99"/>
    <w:pPr>
      <w:spacing w:line="400" w:lineRule="exact"/>
    </w:pPr>
    <w:rPr>
      <w:rFonts w:ascii="Calibri" w:hAnsi="Calibri" w:eastAsia="宋体" w:cs="Calibri"/>
      <w:b/>
      <w:bCs/>
      <w:szCs w:val="21"/>
    </w:rPr>
  </w:style>
  <w:style w:type="character" w:styleId="11">
    <w:name w:val="annotation reference"/>
    <w:basedOn w:val="10"/>
    <w:semiHidden/>
    <w:unhideWhenUsed/>
    <w:uiPriority w:val="99"/>
    <w:rPr>
      <w:sz w:val="21"/>
      <w:szCs w:val="21"/>
    </w:rPr>
  </w:style>
  <w:style w:type="character" w:customStyle="1" w:styleId="12">
    <w:name w:val="页眉 字符"/>
    <w:basedOn w:val="10"/>
    <w:link w:val="6"/>
    <w:uiPriority w:val="99"/>
    <w:rPr>
      <w:rFonts w:ascii="Calibri" w:hAnsi="Calibri" w:eastAsia="宋体" w:cs="Calibri"/>
      <w:sz w:val="18"/>
      <w:szCs w:val="18"/>
    </w:rPr>
  </w:style>
  <w:style w:type="character" w:customStyle="1" w:styleId="13">
    <w:name w:val="页脚 字符"/>
    <w:basedOn w:val="10"/>
    <w:link w:val="5"/>
    <w:uiPriority w:val="99"/>
    <w:rPr>
      <w:rFonts w:ascii="Calibri" w:hAnsi="Calibri" w:eastAsia="宋体" w:cs="Calibri"/>
      <w:sz w:val="18"/>
      <w:szCs w:val="18"/>
    </w:rPr>
  </w:style>
  <w:style w:type="character" w:customStyle="1" w:styleId="14">
    <w:name w:val="批注框文本 字符"/>
    <w:basedOn w:val="10"/>
    <w:link w:val="4"/>
    <w:semiHidden/>
    <w:uiPriority w:val="99"/>
    <w:rPr>
      <w:rFonts w:ascii="Calibri" w:hAnsi="Calibri" w:eastAsia="宋体" w:cs="Calibri"/>
      <w:sz w:val="18"/>
      <w:szCs w:val="18"/>
    </w:rPr>
  </w:style>
  <w:style w:type="paragraph" w:customStyle="1" w:styleId="15">
    <w:name w:val="Revision"/>
    <w:hidden/>
    <w:semiHidden/>
    <w:uiPriority w:val="99"/>
    <w:pPr>
      <w:spacing w:line="240" w:lineRule="auto"/>
      <w:jc w:val="left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customStyle="1" w:styleId="16">
    <w:name w:val="批注文字 字符"/>
    <w:basedOn w:val="10"/>
    <w:link w:val="2"/>
    <w:semiHidden/>
    <w:uiPriority w:val="99"/>
  </w:style>
  <w:style w:type="character" w:customStyle="1" w:styleId="17">
    <w:name w:val="批注主题 字符"/>
    <w:basedOn w:val="16"/>
    <w:link w:val="8"/>
    <w:semiHidden/>
    <w:uiPriority w:val="99"/>
    <w:rPr>
      <w:rFonts w:ascii="Calibri" w:hAnsi="Calibri" w:eastAsia="宋体" w:cs="Calibri"/>
      <w:b/>
      <w:bCs/>
      <w:szCs w:val="21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日期 字符"/>
    <w:basedOn w:val="10"/>
    <w:link w:val="3"/>
    <w:semiHidden/>
    <w:uiPriority w:val="99"/>
    <w:rPr>
      <w:rFonts w:ascii="Calibri" w:hAnsi="Calibri" w:eastAsia="宋体"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74CD877-85F0-4128-9E68-AA87F9BAB61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300</Words>
  <Characters>1716</Characters>
  <Lines>14</Lines>
  <Paragraphs>4</Paragraphs>
  <TotalTime>373</TotalTime>
  <ScaleCrop>false</ScaleCrop>
  <LinksUpToDate>false</LinksUpToDate>
  <CharactersWithSpaces>2012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2016-11-30T01:28:00Z</dcterms:created>
  <dc:creator>cym</dc:creator>
  <cp:lastModifiedBy>Huangxr</cp:lastModifiedBy>
  <dcterms:modified xsi:type="dcterms:W3CDTF">2020-09-27T05:33:28Z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